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bmp" ContentType="image/bmp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25270B">
      <w:pPr>
        <w:spacing w:line="500" w:lineRule="exact"/>
        <w:rPr>
          <w:sz w:val="52"/>
        </w:rPr>
      </w:pPr>
      <w:r>
        <w:rPr>
          <w:rFonts w:eastAsia="黑体"/>
          <w:sz w:val="8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3477260</wp:posOffset>
            </wp:positionH>
            <wp:positionV relativeFrom="paragraph">
              <wp:posOffset>-62865</wp:posOffset>
            </wp:positionV>
            <wp:extent cx="1952625" cy="792480"/>
            <wp:effectExtent l="0" t="0" r="13335" b="0"/>
            <wp:wrapNone/>
            <wp:docPr id="6" name="图片 661" descr="扫描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61" descr="扫描001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黑体"/>
          <w:sz w:val="84"/>
        </w:rPr>
        <w:fldChar w:fldCharType="begin"/>
      </w:r>
      <w:r>
        <w:rPr>
          <w:rFonts w:eastAsia="黑体"/>
          <w:sz w:val="84"/>
        </w:rPr>
        <w:instrText xml:space="preserve"> MACROBUTTON MTEditEquationSection2 </w:instrText>
      </w:r>
      <w:r>
        <w:rPr>
          <w:rStyle w:val="30"/>
        </w:rPr>
        <w:instrText xml:space="preserve">Equation Chapter 1 Section 1</w:instrText>
      </w:r>
      <w:r>
        <w:rPr>
          <w:rFonts w:eastAsia="黑体"/>
          <w:sz w:val="84"/>
        </w:rPr>
        <w:fldChar w:fldCharType="begin"/>
      </w:r>
      <w:r>
        <w:rPr>
          <w:rFonts w:eastAsia="黑体"/>
          <w:sz w:val="84"/>
        </w:rPr>
        <w:instrText xml:space="preserve"> SEQ MTEqn \r \h \* MERGEFORMAT </w:instrText>
      </w:r>
      <w:r>
        <w:rPr>
          <w:rFonts w:eastAsia="黑体"/>
          <w:sz w:val="84"/>
        </w:rPr>
        <w:fldChar w:fldCharType="end"/>
      </w:r>
      <w:r>
        <w:rPr>
          <w:rFonts w:eastAsia="黑体"/>
          <w:sz w:val="84"/>
        </w:rPr>
        <w:fldChar w:fldCharType="begin"/>
      </w:r>
      <w:r>
        <w:rPr>
          <w:rFonts w:eastAsia="黑体"/>
          <w:sz w:val="84"/>
        </w:rPr>
        <w:instrText xml:space="preserve"> SEQ MTSec \r 1 \h \* MERGEFORMAT </w:instrText>
      </w:r>
      <w:r>
        <w:rPr>
          <w:rFonts w:eastAsia="黑体"/>
          <w:sz w:val="84"/>
        </w:rPr>
        <w:fldChar w:fldCharType="end"/>
      </w:r>
      <w:r>
        <w:rPr>
          <w:rFonts w:eastAsia="黑体"/>
          <w:sz w:val="84"/>
        </w:rPr>
        <w:fldChar w:fldCharType="begin"/>
      </w:r>
      <w:r>
        <w:rPr>
          <w:rFonts w:eastAsia="黑体"/>
          <w:sz w:val="84"/>
        </w:rPr>
        <w:instrText xml:space="preserve"> SEQ MTChap \r 1 \h \* MERGEFORMAT </w:instrText>
      </w:r>
      <w:r>
        <w:rPr>
          <w:rFonts w:eastAsia="黑体"/>
          <w:sz w:val="84"/>
        </w:rPr>
        <w:fldChar w:fldCharType="end"/>
      </w:r>
      <w:r>
        <w:rPr>
          <w:rFonts w:eastAsia="黑体"/>
          <w:sz w:val="84"/>
        </w:rPr>
        <w:fldChar w:fldCharType="end"/>
      </w:r>
    </w:p>
    <w:p w14:paraId="0DE8570F">
      <w:pPr>
        <w:spacing w:line="500" w:lineRule="exact"/>
        <w:rPr>
          <w:sz w:val="48"/>
        </w:rPr>
      </w:pPr>
    </w:p>
    <w:p w14:paraId="5FA3EEF3">
      <w:pPr>
        <w:ind w:left="6746" w:hanging="6746" w:hangingChars="1400"/>
        <w:rPr>
          <w:rFonts w:eastAsia="黑体"/>
          <w:b/>
          <w:color w:val="000000"/>
          <w:sz w:val="48"/>
        </w:rPr>
      </w:pPr>
      <w:r>
        <w:rPr>
          <w:rFonts w:hint="eastAsia" w:eastAsia="方正博雅宋_GBK"/>
          <w:b/>
          <w:sz w:val="48"/>
          <w:szCs w:val="52"/>
        </w:rPr>
        <w:t>中华人民共和国国家</w:t>
      </w:r>
      <w:r>
        <w:rPr>
          <w:rFonts w:eastAsia="方正博雅宋_GBK"/>
          <w:b/>
          <w:sz w:val="48"/>
          <w:szCs w:val="52"/>
        </w:rPr>
        <w:t>计量技术规范</w:t>
      </w:r>
      <w:r>
        <w:rPr>
          <w:rFonts w:eastAsia="方正博雅宋_GBK"/>
          <w:b/>
          <w:sz w:val="52"/>
          <w:szCs w:val="52"/>
        </w:rPr>
        <w:t xml:space="preserve">  </w:t>
      </w:r>
      <w:r>
        <w:rPr>
          <w:sz w:val="28"/>
        </w:rPr>
        <w:t xml:space="preserve">                              </w:t>
      </w:r>
      <w:r>
        <w:rPr>
          <w:color w:val="000000"/>
          <w:sz w:val="28"/>
        </w:rPr>
        <w:t xml:space="preserve"> </w:t>
      </w:r>
      <w:r>
        <w:rPr>
          <w:rFonts w:eastAsia="黑体"/>
          <w:bCs/>
          <w:sz w:val="28"/>
        </w:rPr>
        <w:t>JJF</w:t>
      </w:r>
      <w:r>
        <w:rPr>
          <w:rFonts w:hint="eastAsia" w:eastAsia="黑体"/>
          <w:bCs/>
          <w:sz w:val="28"/>
        </w:rPr>
        <w:t>X</w:t>
      </w:r>
      <w:r>
        <w:rPr>
          <w:rFonts w:eastAsia="黑体"/>
          <w:bCs/>
          <w:sz w:val="28"/>
        </w:rPr>
        <w:t>XXX—XXXX</w:t>
      </w:r>
    </w:p>
    <w:p w14:paraId="7BE8C241">
      <w:pPr>
        <w:spacing w:line="500" w:lineRule="exact"/>
        <w:jc w:val="center"/>
        <w:rPr>
          <w:sz w:val="28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137160</wp:posOffset>
                </wp:positionV>
                <wp:extent cx="5829300" cy="20320"/>
                <wp:effectExtent l="0" t="4445" r="7620" b="5715"/>
                <wp:wrapNone/>
                <wp:docPr id="1" name="直线 6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29300" cy="203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73" o:spid="_x0000_s1026" o:spt="20" style="position:absolute;left:0pt;margin-left:0pt;margin-top:10.8pt;height:1.6pt;width:459pt;z-index:251659264;mso-width-relative:page;mso-height-relative:page;" filled="f" stroked="t" coordsize="21600,21600" o:gfxdata="UEsDBAoAAAAAAIdO4kAAAAAAAAAAAAAAAAAEAAAAZHJzL1BLAwQUAAAACACHTuJAEwBFbtQAAAAG&#10;AQAADwAAAGRycy9kb3ducmV2LnhtbE2PvU7EMBCEeyTewVokmhNnJ6BTCHGuANLRcIBo9+IliYjX&#10;udj3A0/PUkE5M6uZb6v1yY/qQHMcAlvIlgYUcRvcwJ2F15fmqgAVE7LDMTBZ+KII6/r8rMLShSM/&#10;02GTOiUlHEu00Kc0lVrHtiePcRkmYsk+wuwxiZw77WY8SrkfdW7MSnscWBZ6nOi+p/Zzs/cWYvNG&#10;u+Z70S7M+3UXKN89PD2itZcXmbkDleiU/o7hF1/QoRambdizi2q0II8kC3m2AiXpbVaIsRXjpgBd&#10;V/o/fv0DUEsDBBQAAAAIAIdO4kCgmdCx5gEAANUDAAAOAAAAZHJzL2Uyb0RvYy54bWytU82O0zAQ&#10;viPxDpbvNNlUXXajpnvYslwQVAIeYGo7jSX/yeNt2mfhNThx4XH2NRg7pQvLpQdycMbjmW/m+zxe&#10;3h2sYXsVUXvX8atZzZlywkvtdh3/+uXhzQ1nmMBJMN6pjh8V8rvV61fLMbSq8YM3UkVGIA7bMXR8&#10;SCm0VYViUBZw5oNydNj7aCHRNu4qGWEkdGuqpq6vq9FHGaIXCpG86+mQnxDjJYC+77VQay8erXJp&#10;Qo3KQCJKOOiAfFW67Xsl0qe+R5WY6TgxTWWlImRv81qtltDuIoRBi1MLcEkLLzhZ0I6KnqHWkIA9&#10;Rv0PlNUievR9mglvq4lIUYRYXNUvtPk8QFCFC0mN4Sw6/j9Y8XG/iUxLmgTOHFi68Kdv359+/GTX&#10;b+dZnTFgS0H3bhNPOwybmKke+mjzn0iwQ1H0eFZUHRIT5FzcNLfzmsQWdNbU86YoXj0nh4jpvfKW&#10;ZaPjRrtMGFrYf8BEBSn0d0h2G8fGjt8umgVBAk1fT7dOpg3EAN2u5KI3Wj5oY3IGxt323kS2hzwB&#10;5cu0CPevsFxkDThMceVomo1BgXznJEvHQNo4ehI8t2CV5MwoekHZIkBoE2hzSSSVNo46yMpOWmZr&#10;6+WxSFz8dNulx9Nk5nH6c1+yn1/j6h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TAEVu1AAAAAYB&#10;AAAPAAAAAAAAAAEAIAAAACIAAABkcnMvZG93bnJldi54bWxQSwECFAAUAAAACACHTuJAoJnQseYB&#10;AADVAwAADgAAAAAAAAABACAAAAAj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7311A137">
      <w:pPr>
        <w:tabs>
          <w:tab w:val="left" w:pos="7452"/>
        </w:tabs>
        <w:spacing w:line="500" w:lineRule="exact"/>
        <w:jc w:val="left"/>
        <w:rPr>
          <w:sz w:val="32"/>
        </w:rPr>
      </w:pPr>
    </w:p>
    <w:p w14:paraId="159CAF72">
      <w:pPr>
        <w:jc w:val="center"/>
        <w:rPr>
          <w:rFonts w:eastAsia="黑体"/>
          <w:sz w:val="52"/>
        </w:rPr>
      </w:pPr>
    </w:p>
    <w:p w14:paraId="4BF70E7C">
      <w:pPr>
        <w:jc w:val="center"/>
        <w:rPr>
          <w:rFonts w:eastAsia="黑体"/>
          <w:bCs/>
          <w:color w:val="000000"/>
          <w:sz w:val="52"/>
          <w:szCs w:val="20"/>
        </w:rPr>
      </w:pPr>
    </w:p>
    <w:p w14:paraId="7237B0FA">
      <w:pPr>
        <w:jc w:val="center"/>
        <w:rPr>
          <w:rFonts w:eastAsia="黑体"/>
          <w:bCs/>
          <w:color w:val="000000"/>
          <w:sz w:val="52"/>
          <w:szCs w:val="20"/>
        </w:rPr>
      </w:pPr>
      <w:r>
        <w:rPr>
          <w:rFonts w:hint="eastAsia" w:eastAsia="黑体"/>
          <w:bCs/>
          <w:color w:val="000000"/>
          <w:sz w:val="52"/>
          <w:szCs w:val="20"/>
        </w:rPr>
        <w:t>石油产品针（锥）入度测定仪</w:t>
      </w:r>
      <w:r>
        <w:rPr>
          <w:rFonts w:eastAsia="黑体"/>
          <w:bCs/>
          <w:color w:val="000000"/>
          <w:sz w:val="52"/>
          <w:szCs w:val="20"/>
        </w:rPr>
        <w:t>校准规</w:t>
      </w:r>
      <w:r>
        <w:rPr>
          <w:rFonts w:eastAsia="黑体"/>
          <w:bCs/>
          <w:sz w:val="52"/>
          <w:szCs w:val="20"/>
        </w:rPr>
        <w:t>范</w:t>
      </w:r>
    </w:p>
    <w:p w14:paraId="37397F2D">
      <w:pPr>
        <w:pStyle w:val="4"/>
        <w:rPr>
          <w:rFonts w:hAnsi="宋体"/>
          <w:sz w:val="28"/>
          <w:szCs w:val="28"/>
        </w:rPr>
      </w:pPr>
      <w:r>
        <w:rPr>
          <w:rFonts w:eastAsia="黑体"/>
          <w:sz w:val="28"/>
        </w:rPr>
        <w:t xml:space="preserve">Calibration Specification </w:t>
      </w:r>
      <w:r>
        <w:rPr>
          <w:rFonts w:eastAsia="黑体"/>
          <w:bCs/>
          <w:sz w:val="28"/>
        </w:rPr>
        <w:t>for</w:t>
      </w:r>
      <w:r>
        <w:rPr>
          <w:rFonts w:hint="eastAsia" w:eastAsia="黑体"/>
          <w:bCs/>
          <w:sz w:val="28"/>
        </w:rPr>
        <w:t xml:space="preserve"> </w:t>
      </w:r>
      <w:r>
        <w:rPr>
          <w:rFonts w:hint="eastAsia" w:hAnsi="宋体"/>
          <w:sz w:val="28"/>
          <w:szCs w:val="28"/>
        </w:rPr>
        <w:t xml:space="preserve">Needle (Cone) </w:t>
      </w:r>
    </w:p>
    <w:p w14:paraId="625E2647">
      <w:pPr>
        <w:pStyle w:val="4"/>
        <w:rPr>
          <w:rFonts w:hAnsi="宋体"/>
          <w:sz w:val="28"/>
          <w:szCs w:val="28"/>
        </w:rPr>
      </w:pPr>
      <w:r>
        <w:rPr>
          <w:rFonts w:hint="eastAsia" w:hAnsi="宋体"/>
          <w:sz w:val="28"/>
          <w:szCs w:val="28"/>
        </w:rPr>
        <w:t>Penetration Testers of Petroleum Products</w:t>
      </w:r>
    </w:p>
    <w:p w14:paraId="2B229B70">
      <w:pPr>
        <w:jc w:val="center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(</w:t>
      </w:r>
      <w:r>
        <w:rPr>
          <w:rFonts w:hint="eastAsia" w:eastAsia="黑体"/>
          <w:sz w:val="28"/>
          <w:szCs w:val="28"/>
        </w:rPr>
        <w:t>征求</w:t>
      </w:r>
      <w:r>
        <w:rPr>
          <w:rFonts w:eastAsia="黑体"/>
          <w:sz w:val="28"/>
          <w:szCs w:val="28"/>
        </w:rPr>
        <w:t>意见稿)</w:t>
      </w:r>
    </w:p>
    <w:p w14:paraId="2B339CAB">
      <w:pPr>
        <w:tabs>
          <w:tab w:val="left" w:pos="7452"/>
        </w:tabs>
        <w:spacing w:line="500" w:lineRule="exact"/>
        <w:jc w:val="center"/>
        <w:rPr>
          <w:sz w:val="32"/>
        </w:rPr>
      </w:pPr>
    </w:p>
    <w:p w14:paraId="673E62F1">
      <w:pPr>
        <w:spacing w:line="500" w:lineRule="exact"/>
        <w:rPr>
          <w:sz w:val="32"/>
        </w:rPr>
      </w:pPr>
    </w:p>
    <w:p w14:paraId="79E20961">
      <w:pPr>
        <w:spacing w:line="500" w:lineRule="exact"/>
        <w:rPr>
          <w:sz w:val="32"/>
        </w:rPr>
      </w:pPr>
    </w:p>
    <w:p w14:paraId="2D2DCBAE">
      <w:pPr>
        <w:spacing w:line="500" w:lineRule="exact"/>
        <w:rPr>
          <w:sz w:val="32"/>
        </w:rPr>
      </w:pPr>
    </w:p>
    <w:p w14:paraId="16CF9858">
      <w:pPr>
        <w:spacing w:line="500" w:lineRule="exact"/>
        <w:rPr>
          <w:sz w:val="32"/>
        </w:rPr>
      </w:pPr>
    </w:p>
    <w:p w14:paraId="7DEA2A0F">
      <w:pPr>
        <w:spacing w:line="500" w:lineRule="exact"/>
        <w:rPr>
          <w:sz w:val="32"/>
        </w:rPr>
      </w:pPr>
    </w:p>
    <w:p w14:paraId="0658EB1C">
      <w:pPr>
        <w:spacing w:line="500" w:lineRule="exact"/>
        <w:rPr>
          <w:sz w:val="32"/>
        </w:rPr>
      </w:pPr>
    </w:p>
    <w:p w14:paraId="23D1870C">
      <w:pPr>
        <w:spacing w:line="284" w:lineRule="exact"/>
        <w:rPr>
          <w:sz w:val="18"/>
          <w:szCs w:val="18"/>
        </w:rPr>
      </w:pPr>
    </w:p>
    <w:p w14:paraId="268AE1DB">
      <w:pPr>
        <w:spacing w:line="500" w:lineRule="exact"/>
        <w:rPr>
          <w:sz w:val="32"/>
        </w:rPr>
      </w:pPr>
    </w:p>
    <w:p w14:paraId="7EDA82AF">
      <w:pPr>
        <w:tabs>
          <w:tab w:val="left" w:pos="960"/>
        </w:tabs>
        <w:autoSpaceDE w:val="0"/>
        <w:autoSpaceDN w:val="0"/>
        <w:adjustRightInd w:val="0"/>
        <w:ind w:firstLine="840" w:firstLineChars="300"/>
        <w:rPr>
          <w:rFonts w:eastAsia="黑体"/>
          <w:color w:val="000000"/>
          <w:kern w:val="0"/>
          <w:sz w:val="28"/>
        </w:rPr>
      </w:pPr>
      <w:r>
        <w:rPr>
          <w:rFonts w:eastAsia="黑体"/>
          <w:color w:val="000000"/>
          <w:kern w:val="0"/>
          <w:sz w:val="28"/>
        </w:rPr>
        <w:t>XXXX-XX-XX发布                     XXXX-XX-XX实施</w:t>
      </w:r>
    </w:p>
    <w:p w14:paraId="296AB8B0">
      <w:pPr>
        <w:tabs>
          <w:tab w:val="left" w:pos="960"/>
        </w:tabs>
        <w:autoSpaceDE w:val="0"/>
        <w:autoSpaceDN w:val="0"/>
        <w:adjustRightInd w:val="0"/>
        <w:ind w:firstLine="840" w:firstLineChars="300"/>
        <w:rPr>
          <w:rFonts w:eastAsia="黑体"/>
          <w:color w:val="000000"/>
          <w:kern w:val="0"/>
          <w:sz w:val="28"/>
        </w:rPr>
      </w:pPr>
      <w:r>
        <w:rPr>
          <w:rFonts w:eastAsia="黑体"/>
          <w:color w:val="000000"/>
          <w:kern w:val="0"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154305</wp:posOffset>
                </wp:positionV>
                <wp:extent cx="5833745" cy="0"/>
                <wp:effectExtent l="0" t="4445" r="0" b="5080"/>
                <wp:wrapNone/>
                <wp:docPr id="2" name="直线 6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3374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76" o:spid="_x0000_s1026" o:spt="20" style="position:absolute;left:0pt;margin-left:0pt;margin-top:12.15pt;height:0pt;width:459.35pt;z-index:251660288;mso-width-relative:page;mso-height-relative:page;" filled="f" stroked="t" coordsize="21600,21600" o:gfxdata="UEsDBAoAAAAAAIdO4kAAAAAAAAAAAAAAAAAEAAAAZHJzL1BLAwQUAAAACACHTuJAGxDkVdQAAAAG&#10;AQAADwAAAGRycy9kb3ducmV2LnhtbE2PzU7DMBCE70i8g7VIXCpqJ0VQQpwegNy4UEBct/GSRMTr&#10;NHZ/4OlZxAGOOzOa+bZcHf2g9jTFPrCFbG5AETfB9dxaeHmuL5agYkJ2OAQmC58UYVWdnpRYuHDg&#10;J9qvU6ukhGOBFrqUxkLr2HTkMc7DSCzee5g8JjmnVrsJD1LuB50bc6U99iwLHY5011Hzsd55C7F+&#10;pW39NWtm5m3RBsq3948PaO35WWZuQSU6pr8w/OALOlTCtAk7dlENFuSRZCG/XIAS9yZbXoPa/Aq6&#10;KvV//OobUEsDBBQAAAAIAIdO4kDqWeW84gEAANEDAAAOAAAAZHJzL2Uyb0RvYy54bWytU0tu2zAQ&#10;3RfoHQjuazlO7SSC5SzippuiNdD2AGOSkgjwBw5j2WfpNbrqpsfJNTqkHKdJN15UC2o4nHkz73G4&#10;vN1bw3Yqovau4ReTKWfKCS+16xr+/dv9u2vOMIGTYLxTDT8o5Lert2+WQ6jVzPfeSBUZgTish9Dw&#10;PqVQVxWKXlnAiQ/K0WHro4VE29hVMsJA6NZUs+l0UQ0+yhC9UIjkXY+H/IgYzwH0bauFWnvxYJVL&#10;I2pUBhJRwl4H5KvSbdsqkb60LarETMOJaSorFSF7m9dqtYS6ixB6LY4twDktvOJkQTsqeoJaQwL2&#10;EPU/UFaL6NG3aSK8rUYiRRFicTF9pc3XHoIqXEhqDCfR8f/Bis+7TWRaNnzGmQNLF/744+fjr99s&#10;cbXI6gwBawq6c5t43GHYxEx130ab/0SC7Yuih5Oiap+YIOf8+vLy6v2cM/F0Vj0nhojpo/KWZaPh&#10;RrtMFmrYfcJExSj0KSS7jWNDw2/mswwHNHkt3TiZNlD36LqSi95oea+NyRkYu+2diWwH+fbLlykR&#10;7ouwXGQN2I9x5Wici16B/OAkS4dAujh6Djy3YJXkzCh6PdkiQKgTaHNOJJU2jjrIqo46Zmvr5aHI&#10;W/x006XH41TmUfp7X7KfX+Lq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sQ5FXUAAAABgEAAA8A&#10;AAAAAAAAAQAgAAAAIgAAAGRycy9kb3ducmV2LnhtbFBLAQIUABQAAAAIAIdO4kDqWeW84gEAANED&#10;AAAOAAAAAAAAAAEAIAAAACMBAABkcnMvZTJvRG9jLnhtbFBLBQYAAAAABgAGAFkBAAB3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5AC63939">
      <w:pPr>
        <w:jc w:val="center"/>
        <w:rPr>
          <w:rFonts w:eastAsia="方正小标宋简体"/>
          <w:b/>
          <w:spacing w:val="34"/>
          <w:w w:val="130"/>
          <w:kern w:val="0"/>
          <w:sz w:val="52"/>
          <w:szCs w:val="52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1361" w:right="1418" w:bottom="1361" w:left="1418" w:header="851" w:footer="992" w:gutter="0"/>
          <w:pgNumType w:fmt="upperRoman"/>
          <w:cols w:space="720" w:num="1"/>
          <w:titlePg/>
          <w:docGrid w:type="lines" w:linePitch="312" w:charSpace="0"/>
        </w:sectPr>
      </w:pPr>
      <w:r>
        <w:rPr>
          <w:rFonts w:hint="eastAsia" w:eastAsia="黑体"/>
          <w:spacing w:val="56"/>
          <w:w w:val="150"/>
          <w:sz w:val="32"/>
          <w:szCs w:val="32"/>
        </w:rPr>
        <w:t>国家</w:t>
      </w:r>
      <w:r>
        <w:rPr>
          <w:rFonts w:eastAsia="黑体"/>
          <w:spacing w:val="56"/>
          <w:w w:val="150"/>
          <w:sz w:val="32"/>
          <w:szCs w:val="32"/>
        </w:rPr>
        <w:t>市场监督</w:t>
      </w:r>
      <w:r>
        <w:rPr>
          <w:rFonts w:hint="eastAsia" w:eastAsia="黑体"/>
          <w:spacing w:val="56"/>
          <w:w w:val="150"/>
          <w:sz w:val="32"/>
          <w:szCs w:val="32"/>
        </w:rPr>
        <w:t>管理</w:t>
      </w:r>
      <w:r>
        <w:rPr>
          <w:rFonts w:eastAsia="黑体"/>
          <w:spacing w:val="56"/>
          <w:w w:val="150"/>
          <w:sz w:val="32"/>
          <w:szCs w:val="32"/>
        </w:rPr>
        <w:t>总局</w:t>
      </w:r>
      <w:r>
        <w:rPr>
          <w:b/>
          <w:spacing w:val="56"/>
          <w:w w:val="150"/>
          <w:sz w:val="32"/>
          <w:szCs w:val="32"/>
        </w:rPr>
        <w:t xml:space="preserve"> </w:t>
      </w:r>
      <w:r>
        <w:rPr>
          <w:rFonts w:eastAsia="黑体"/>
          <w:spacing w:val="100"/>
          <w:sz w:val="28"/>
          <w:szCs w:val="28"/>
        </w:rPr>
        <w:t>发布</w:t>
      </w:r>
    </w:p>
    <w:p w14:paraId="3DD937BD">
      <w:pPr>
        <w:pStyle w:val="10"/>
        <w:spacing w:line="360" w:lineRule="auto"/>
        <w:ind w:right="210"/>
        <w:jc w:val="right"/>
        <w:rPr>
          <w:rFonts w:ascii="Times New Roman" w:hAnsi="Times New Roman" w:eastAsia="黑体"/>
          <w:sz w:val="24"/>
          <w:szCs w:val="24"/>
        </w:rPr>
      </w:pPr>
    </w:p>
    <w:p w14:paraId="54A7FF03">
      <w:pPr>
        <w:rPr>
          <w:rFonts w:eastAsia="黑体"/>
          <w:bCs/>
          <w:color w:val="000000"/>
          <w:sz w:val="44"/>
          <w:szCs w:val="20"/>
        </w:rPr>
      </w:pPr>
    </w:p>
    <w:p w14:paraId="48E74BA5">
      <w:pPr>
        <w:rPr>
          <w:rFonts w:eastAsia="黑体"/>
          <w:bCs/>
          <w:color w:val="000000"/>
          <w:sz w:val="44"/>
          <w:szCs w:val="20"/>
        </w:rPr>
      </w:pPr>
      <w:r>
        <w:rPr>
          <w:rFonts w:hint="eastAsia" w:eastAsia="黑体"/>
          <w:bCs/>
          <w:color w:val="000000"/>
          <w:sz w:val="44"/>
          <w:szCs w:val="20"/>
        </w:rPr>
        <w:t>石油产品针（锥）入度测定仪</w:t>
      </w:r>
    </w:p>
    <w:p w14:paraId="2F522399">
      <w:pPr>
        <w:rPr>
          <w:rFonts w:eastAsia="黑体"/>
          <w:bCs/>
          <w:color w:val="000000"/>
          <w:spacing w:val="10"/>
          <w:kern w:val="0"/>
          <w:sz w:val="44"/>
          <w:szCs w:val="44"/>
        </w:rPr>
      </w:pPr>
      <w:r>
        <w:rPr>
          <w:rFonts w:eastAsia="黑体"/>
          <w:bCs/>
          <w:color w:val="000000"/>
          <w:sz w:val="44"/>
          <w:szCs w:val="20"/>
        </w:rPr>
        <w:t>校准规范</w:t>
      </w:r>
      <w:r>
        <w:rPr>
          <w:rFonts w:eastAsia="黑体"/>
          <w:sz w:val="40"/>
          <w:szCs w:val="32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3886200</wp:posOffset>
                </wp:positionH>
                <wp:positionV relativeFrom="paragraph">
                  <wp:posOffset>198120</wp:posOffset>
                </wp:positionV>
                <wp:extent cx="1943100" cy="594360"/>
                <wp:effectExtent l="9525" t="9525" r="13335" b="20955"/>
                <wp:wrapTight wrapText="bothSides">
                  <wp:wrapPolygon>
                    <wp:start x="-120" y="-208"/>
                    <wp:lineTo x="-120" y="21600"/>
                    <wp:lineTo x="21720" y="21600"/>
                    <wp:lineTo x="21720" y="-208"/>
                    <wp:lineTo x="-120" y="-208"/>
                  </wp:wrapPolygon>
                </wp:wrapTight>
                <wp:docPr id="4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594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ap="flat" cmpd="sng">
                          <a:pattFill prst="zigZag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9116456">
                            <w:pPr>
                              <w:pStyle w:val="3"/>
                              <w:tabs>
                                <w:tab w:val="left" w:pos="2700"/>
                                <w:tab w:val="left" w:pos="2880"/>
                              </w:tabs>
                              <w:ind w:right="-134" w:rightChars="-64"/>
                              <w:jc w:val="both"/>
                              <w:rPr>
                                <w:rFonts w:ascii="宋体" w:hAnsi="宋体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sz w:val="28"/>
                                <w:szCs w:val="28"/>
                              </w:rPr>
                              <w:t>JJF</w:t>
                            </w:r>
                            <w:r>
                              <w:rPr>
                                <w:rFonts w:ascii="宋体" w:hAnsi="宋体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hint="eastAsia" w:hAnsi="宋体"/>
                                <w:b/>
                                <w:bCs/>
                                <w:sz w:val="28"/>
                              </w:rPr>
                              <w:t>XXXX—XXXX</w:t>
                            </w: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文本框 8" o:spid="_x0000_s1026" o:spt="202" type="#_x0000_t202" style="position:absolute;left:0pt;margin-left:306pt;margin-top:15.6pt;height:46.8pt;width:153pt;mso-wrap-distance-left:9pt;mso-wrap-distance-right:9pt;z-index:-251654144;mso-width-relative:page;mso-height-relative:page;" fillcolor="#FFFFFF" filled="t" stroked="t" coordsize="21600,21600" wrapcoords="-120 -208 -120 21600 21720 21600 21720 -208 -120 -208" o:gfxdata="UEsDBAoAAAAAAIdO4kAAAAAAAAAAAAAAAAAEAAAAZHJzL1BLAwQUAAAACACHTuJAGo31JtcAAAAK&#10;AQAADwAAAGRycy9kb3ducmV2LnhtbE2PzU7DMBCE70i8g7VIvVHbAVUmxKlEJU6oqig8gBubOMJe&#10;R7Gb/jw9ywluuzuj2W+a9TkGNrspDwk1yKUA5rBLdsBew+fH670ClotBa0JCp+HiMqzb25vG1Dad&#10;8N3N+9IzCsFcGw2+lLHmPHfeRZOXaXRI2leaoim0Tj23kzlReAy8EmLFoxmQPngzuo133ff+GDW8&#10;lLCTapy77fYqNpc3mv1Oab24k+IZWHHn8meGX3xCh5aYDumINrOgYSUr6lI0PMgKGBmepKLDgZzV&#10;owLeNvx/hfYHUEsDBBQAAAAIAIdO4kCZ98GrMQIAAJAEAAAOAAAAZHJzL2Uyb0RvYy54bWytVM2O&#10;0zAQviPxDpbvNOmyu1qipitBKRcESAsXblPbSSz5D9ttUh4A3oATF+48V5+DsZPtsrsceiCHZOwZ&#10;fzPfN+MsrgetyE74IK2p6XxWUiIMs1yatqafPq6fXVESIhgOyhpR070I9Hr59Mmid5U4s51VXHiC&#10;ICZUvatpF6OriiKwTmgIM+uEQWdjvYaIS98W3EOP6FoVZ2V5WfTWc+ctEyHg7mp00gnRnwJom0Yy&#10;sbJsq4WJI6oXCiJSCp10gS5ztU0jWHzfNEFEomqKTGN+YxK0N+ldLBdQtR5cJ9lUApxSwgNOGqTB&#10;pEeoFUQgWy8fQWnJvA22iTNmdTESyYogi3n5QJubDpzIXFDq4I6ih/8Hy97tPngieU3PKTGgseGH&#10;H98PP38ffn0jV0me3oUKo24cxsXhpR1waG73A24m1kPjdfoiH4J+FHd/FFcMkbB06MX583mJLoa+&#10;C1xcZvWLu9POh/hGWE2SUVOPzcuawu5tiFgJht6GpGTBKsnXUqm88O3mlfJkB9jodX5SkXjkXpgy&#10;pE+llBepEMDxbXBs0NQOJQimzQkdxJiAp0K+yvYzjJ6mxSSP8pX5mfIdQzb/jL1X2xSSiE0pE3Yi&#10;uYLQjWRy/QkbKi2j8NnqBPDXhpO4d9gxgxeVJmJacEqUwHudrBwZQapTIrEGZVCw1O6xrcmKw2ZA&#10;mGRuLN/jCPR4V1CpL1vwmHPrvGw7bFYeiXwYBzXrPl2qdBP+XucUdz+S5R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ajfUm1wAAAAoBAAAPAAAAAAAAAAEAIAAAACIAAABkcnMvZG93bnJldi54bWxQ&#10;SwECFAAUAAAACACHTuJAmffBqzECAACQBAAADgAAAAAAAAABACAAAAAmAQAAZHJzL2Uyb0RvYy54&#10;bWxQSwUGAAAAAAYABgBZAQAAyQUAAAAA&#10;">
                <v:fill on="t" focussize="0,0"/>
                <v:stroke r:id="rId21" weight="1.5pt" color="#000000" color2="#FFFFFF" joinstyle="miter" o:relid="rId21" filltype="pattern"/>
                <v:imagedata o:title=""/>
                <o:lock v:ext="edit" aspectratio="f"/>
                <v:textbox>
                  <w:txbxContent>
                    <w:p w14:paraId="39116456">
                      <w:pPr>
                        <w:pStyle w:val="3"/>
                        <w:tabs>
                          <w:tab w:val="left" w:pos="2700"/>
                          <w:tab w:val="left" w:pos="2880"/>
                        </w:tabs>
                        <w:ind w:right="-134" w:rightChars="-64"/>
                        <w:jc w:val="both"/>
                        <w:rPr>
                          <w:rFonts w:ascii="宋体" w:hAnsi="宋体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/>
                          <w:b/>
                          <w:sz w:val="28"/>
                          <w:szCs w:val="28"/>
                        </w:rPr>
                        <w:t>JJF</w:t>
                      </w:r>
                      <w:r>
                        <w:rPr>
                          <w:rFonts w:ascii="宋体" w:hAnsi="宋体"/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hint="eastAsia" w:hAnsi="宋体"/>
                          <w:b/>
                          <w:bCs/>
                          <w:sz w:val="28"/>
                        </w:rPr>
                        <w:t>XXXX—XXXX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657A248E">
      <w:pPr>
        <w:pStyle w:val="10"/>
        <w:spacing w:line="36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Calibration</w:t>
      </w:r>
      <w:r>
        <w:rPr>
          <w:rFonts w:hint="eastAsia"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Specification for </w:t>
      </w:r>
      <w:r>
        <w:rPr>
          <w:rFonts w:hint="eastAsia" w:ascii="Times New Roman" w:hAnsi="Times New Roman"/>
          <w:sz w:val="28"/>
        </w:rPr>
        <w:t>Needle (Cone) Penetration of Petroleum Products</w:t>
      </w:r>
    </w:p>
    <w:p w14:paraId="254D7D56">
      <w:pPr>
        <w:pStyle w:val="10"/>
        <w:spacing w:line="360" w:lineRule="auto"/>
        <w:rPr>
          <w:rFonts w:ascii="Times New Roman" w:hAnsi="Times New Roman"/>
          <w:sz w:val="28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62865</wp:posOffset>
                </wp:positionV>
                <wp:extent cx="6172200" cy="0"/>
                <wp:effectExtent l="0" t="9525" r="0" b="13335"/>
                <wp:wrapNone/>
                <wp:docPr id="5" name="直线 6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50" o:spid="_x0000_s1026" o:spt="20" style="position:absolute;left:0pt;margin-left:-11.25pt;margin-top:4.95pt;height:0pt;width:486pt;z-index:251663360;mso-width-relative:page;mso-height-relative:page;" filled="f" stroked="t" coordsize="21600,21600" o:gfxdata="UEsDBAoAAAAAAIdO4kAAAAAAAAAAAAAAAAAEAAAAZHJzL1BLAwQUAAAACACHTuJA8jmYQdMAAAAH&#10;AQAADwAAAGRycy9kb3ducmV2LnhtbE2OwU7DMBBE70j8g7VI3FqnUYviEKcSlbj0RqiAoxtvk6jx&#10;OordtPl7Fi5wHM3ozSu2N9eLCcfQedKwWiYgkGpvO2o0HN5fFxmIEA1Z03tCDTMG2Jb3d4XJrb/S&#10;G05VbARDKORGQxvjkEsZ6hadCUs/IHF38qMzkePYSDuaK8NdL9MkeZLOdMQPrRlw12J9ri6OKZvP&#10;7GVvssM899WXWu8+9hM5rR8fVskziIi3+DeGH31Wh5Kdjv5CNohewyJNNzzVoBQI7tVacT7+ZlkW&#10;8r9/+Q1QSwMEFAAAAAgAh07iQH2NnabfAQAA0gMAAA4AAABkcnMvZTJvRG9jLnhtbK1TzY7TMBC+&#10;I/EOlu80aaUtEDXdw5blgqAS7ANMbSex5D95vE37LLwGJy48zr4GY6fbwnLpgRycsT3zzXzfjFe3&#10;B2vYXkXU3rV8Pqs5U054qV3f8odv92/ecYYJnATjnWr5USG/Xb9+tRpDoxZ+8EaqyAjEYTOGlg8p&#10;haaqUAzKAs58UI4uOx8tJNrGvpIRRkK3plrU9bIafZQheqEQ6XQzXfITYrwG0HedFmrjxaNVLk2o&#10;URlIRAkHHZCvS7Vdp0T60nWoEjMtJ6aprJSE7F1eq/UKmj5CGLQ4lQDXlPCCkwXtKOkZagMJ2GPU&#10;/0BZLaJH36WZ8LaaiBRFiMW8fqHN1wGCKlxIagxn0fH/wYrP+21kWrb8hjMHlhr+9P3H089fbHlT&#10;1BkDNuR057aRtMo7DNuYqR66aPOfSLBDUfR4VlQdEhN0uJy/XVDTORPPd9UlMERMH5W3LBstN9pl&#10;stDA/hMmSkauzy752Dg20sC+r6kwJoBGr6OWk2kDlY+uL8HojZb32pgcgrHf3ZnI9pDbX77ccQL+&#10;yy1n2QAOk1+5mgZjUCA/OMnSMZAwjt4DzzVYJTkzip5PtsoIJdDmGk9KbRxVcBEyWzsvj0Xfck6t&#10;LjWexjLP0p/7En15iuv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8jmYQdMAAAAHAQAADwAAAAAA&#10;AAABACAAAAAiAAAAZHJzL2Rvd25yZXYueG1sUEsBAhQAFAAAAAgAh07iQH2NnabfAQAA0gMAAA4A&#10;AAAAAAAAAQAgAAAAIgEAAGRycy9lMm9Eb2MueG1sUEsFBgAAAAAGAAYAWQEAAHMFAAAAAA==&#10;">
                <v:fill on="f" focussize="0,0"/>
                <v:stroke weight="1.5pt"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092F0726">
      <w:pPr>
        <w:pStyle w:val="10"/>
        <w:spacing w:line="360" w:lineRule="auto"/>
        <w:rPr>
          <w:rFonts w:ascii="Times New Roman" w:hAnsi="Times New Roman"/>
          <w:sz w:val="28"/>
        </w:rPr>
      </w:pPr>
    </w:p>
    <w:p w14:paraId="46EC3224">
      <w:pPr>
        <w:pStyle w:val="10"/>
        <w:spacing w:line="360" w:lineRule="auto"/>
        <w:rPr>
          <w:rFonts w:ascii="Times New Roman" w:hAnsi="Times New Roman"/>
        </w:rPr>
      </w:pPr>
    </w:p>
    <w:p w14:paraId="49216E2F">
      <w:pPr>
        <w:pStyle w:val="10"/>
        <w:spacing w:line="360" w:lineRule="auto"/>
        <w:rPr>
          <w:rFonts w:ascii="Times New Roman" w:hAnsi="Times New Roman"/>
        </w:rPr>
      </w:pPr>
    </w:p>
    <w:p w14:paraId="3CDABF1E">
      <w:pPr>
        <w:pStyle w:val="10"/>
        <w:spacing w:line="360" w:lineRule="auto"/>
        <w:rPr>
          <w:rFonts w:ascii="Times New Roman" w:hAnsi="Times New Roman"/>
        </w:rPr>
      </w:pPr>
    </w:p>
    <w:p w14:paraId="5ED4F206">
      <w:pPr>
        <w:pStyle w:val="10"/>
        <w:spacing w:line="360" w:lineRule="auto"/>
        <w:rPr>
          <w:rFonts w:ascii="Times New Roman" w:hAnsi="Times New Roman"/>
        </w:rPr>
      </w:pPr>
    </w:p>
    <w:p w14:paraId="06AAE2A8">
      <w:pPr>
        <w:ind w:firstLine="1260" w:firstLineChars="45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 xml:space="preserve">归 口 单 位： </w:t>
      </w:r>
      <w:r>
        <w:rPr>
          <w:rFonts w:hint="eastAsia" w:eastAsia="黑体"/>
          <w:sz w:val="28"/>
          <w:szCs w:val="28"/>
        </w:rPr>
        <w:t xml:space="preserve"> 全国石油专用计量测试技术委员会</w:t>
      </w:r>
    </w:p>
    <w:p w14:paraId="0BF96360">
      <w:pPr>
        <w:ind w:firstLine="1260" w:firstLineChars="450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主要起草单位： 辽宁省计量科学研究院</w:t>
      </w:r>
    </w:p>
    <w:p w14:paraId="2EB9C99F">
      <w:pPr>
        <w:ind w:firstLine="1260" w:firstLineChars="450"/>
        <w:rPr>
          <w:rFonts w:eastAsia="黑体"/>
          <w:sz w:val="28"/>
          <w:szCs w:val="28"/>
        </w:rPr>
      </w:pPr>
      <w:r>
        <w:rPr>
          <w:rFonts w:eastAsia="黑体"/>
          <w:color w:val="FFFFFF"/>
          <w:sz w:val="28"/>
          <w:szCs w:val="28"/>
        </w:rPr>
        <w:t xml:space="preserve">           </w:t>
      </w:r>
      <w:r>
        <w:rPr>
          <w:rFonts w:hint="eastAsia" w:eastAsia="黑体"/>
          <w:color w:val="FFFFFF"/>
          <w:sz w:val="28"/>
          <w:szCs w:val="28"/>
        </w:rPr>
        <w:t xml:space="preserve"> </w:t>
      </w:r>
      <w:r>
        <w:rPr>
          <w:rFonts w:hint="eastAsia" w:eastAsia="黑体"/>
          <w:sz w:val="28"/>
          <w:szCs w:val="28"/>
        </w:rPr>
        <w:t xml:space="preserve">   中国计量科学研究院</w:t>
      </w:r>
    </w:p>
    <w:p w14:paraId="07AC595A">
      <w:pPr>
        <w:ind w:firstLine="1260" w:firstLineChars="450"/>
        <w:rPr>
          <w:rFonts w:eastAsia="黑体"/>
          <w:color w:val="00B0F0"/>
          <w:sz w:val="28"/>
          <w:szCs w:val="28"/>
        </w:rPr>
      </w:pPr>
      <w:r>
        <w:rPr>
          <w:rFonts w:hint="eastAsia" w:eastAsia="黑体"/>
          <w:sz w:val="28"/>
          <w:szCs w:val="28"/>
        </w:rPr>
        <w:t>参加</w:t>
      </w:r>
      <w:r>
        <w:rPr>
          <w:rFonts w:eastAsia="黑体"/>
          <w:sz w:val="28"/>
          <w:szCs w:val="28"/>
        </w:rPr>
        <w:t>起草单位</w:t>
      </w:r>
      <w:r>
        <w:rPr>
          <w:rFonts w:hint="eastAsia" w:eastAsia="黑体"/>
          <w:sz w:val="28"/>
          <w:szCs w:val="28"/>
        </w:rPr>
        <w:t>： 中国石油化工股份有限公司胜利油田分公司</w:t>
      </w:r>
    </w:p>
    <w:p w14:paraId="3557AF3D">
      <w:pPr>
        <w:ind w:firstLine="705"/>
        <w:rPr>
          <w:rFonts w:eastAsia="黑体"/>
          <w:kern w:val="0"/>
          <w:sz w:val="28"/>
        </w:rPr>
      </w:pPr>
      <w:r>
        <w:rPr>
          <w:rFonts w:eastAsia="黑体"/>
          <w:kern w:val="0"/>
          <w:sz w:val="28"/>
        </w:rPr>
        <w:t xml:space="preserve">                  </w:t>
      </w:r>
      <w:r>
        <w:rPr>
          <w:rFonts w:eastAsia="黑体"/>
          <w:color w:val="000000"/>
          <w:spacing w:val="22"/>
          <w:kern w:val="0"/>
          <w:sz w:val="28"/>
          <w:szCs w:val="28"/>
        </w:rPr>
        <w:t xml:space="preserve"> </w:t>
      </w:r>
    </w:p>
    <w:p w14:paraId="29DB8930">
      <w:pPr>
        <w:rPr>
          <w:sz w:val="24"/>
        </w:rPr>
      </w:pPr>
    </w:p>
    <w:p w14:paraId="1FCBF2A9">
      <w:pPr>
        <w:rPr>
          <w:sz w:val="24"/>
        </w:rPr>
      </w:pPr>
    </w:p>
    <w:p w14:paraId="05B071D3">
      <w:pPr>
        <w:ind w:firstLine="1216" w:firstLineChars="507"/>
        <w:rPr>
          <w:sz w:val="24"/>
        </w:rPr>
      </w:pPr>
    </w:p>
    <w:p w14:paraId="20535A68">
      <w:pPr>
        <w:rPr>
          <w:sz w:val="28"/>
        </w:rPr>
      </w:pPr>
    </w:p>
    <w:p w14:paraId="795BC168">
      <w:pPr>
        <w:pStyle w:val="10"/>
        <w:spacing w:line="360" w:lineRule="auto"/>
        <w:ind w:firstLine="560" w:firstLineChars="200"/>
        <w:rPr>
          <w:rFonts w:ascii="Times New Roman" w:hAnsi="Times New Roman"/>
          <w:color w:val="000000"/>
          <w:kern w:val="0"/>
          <w:sz w:val="28"/>
        </w:rPr>
      </w:pPr>
    </w:p>
    <w:p w14:paraId="5F27895B">
      <w:pPr>
        <w:pStyle w:val="10"/>
        <w:spacing w:line="360" w:lineRule="auto"/>
        <w:ind w:firstLine="560" w:firstLineChars="200"/>
        <w:rPr>
          <w:rFonts w:ascii="Times New Roman" w:hAnsi="Times New Roman"/>
          <w:color w:val="000000"/>
          <w:kern w:val="0"/>
          <w:sz w:val="28"/>
        </w:rPr>
      </w:pPr>
    </w:p>
    <w:p w14:paraId="5ED381FF">
      <w:pPr>
        <w:pStyle w:val="10"/>
        <w:spacing w:line="360" w:lineRule="auto"/>
        <w:rPr>
          <w:rFonts w:ascii="Times New Roman" w:hAnsi="Times New Roman"/>
          <w:color w:val="000000"/>
          <w:kern w:val="0"/>
          <w:sz w:val="28"/>
        </w:rPr>
      </w:pPr>
    </w:p>
    <w:p w14:paraId="3CBB248C">
      <w:pPr>
        <w:pStyle w:val="10"/>
        <w:spacing w:line="360" w:lineRule="auto"/>
        <w:ind w:firstLine="560" w:firstLineChars="200"/>
        <w:rPr>
          <w:rFonts w:ascii="Times New Roman" w:hAnsi="Times New Roman"/>
          <w:color w:val="000000"/>
          <w:kern w:val="0"/>
          <w:sz w:val="28"/>
        </w:rPr>
      </w:pPr>
    </w:p>
    <w:p w14:paraId="1A34EC4C">
      <w:pPr>
        <w:pStyle w:val="10"/>
        <w:spacing w:line="360" w:lineRule="auto"/>
        <w:ind w:firstLine="560" w:firstLineChars="200"/>
        <w:rPr>
          <w:rFonts w:ascii="Times New Roman" w:hAnsi="Times New Roman"/>
        </w:rPr>
      </w:pPr>
      <w:r>
        <w:rPr>
          <w:rFonts w:ascii="Times New Roman" w:hAnsi="Times New Roman"/>
          <w:color w:val="000000"/>
          <w:kern w:val="0"/>
          <w:sz w:val="28"/>
        </w:rPr>
        <w:t>本规范</w:t>
      </w:r>
      <w:r>
        <w:rPr>
          <w:rFonts w:hint="eastAsia" w:ascii="Times New Roman" w:hAnsi="Times New Roman"/>
          <w:color w:val="000000"/>
          <w:kern w:val="0"/>
          <w:sz w:val="28"/>
        </w:rPr>
        <w:t>委托</w:t>
      </w:r>
      <w:r>
        <w:rPr>
          <w:rFonts w:ascii="Times New Roman" w:hAnsi="Times New Roman"/>
          <w:color w:val="000000"/>
          <w:kern w:val="0"/>
          <w:sz w:val="28"/>
        </w:rPr>
        <w:t>由</w:t>
      </w:r>
      <w:r>
        <w:rPr>
          <w:rFonts w:hint="eastAsia" w:ascii="Times New Roman" w:hAnsi="Times New Roman"/>
          <w:color w:val="000000"/>
          <w:kern w:val="0"/>
          <w:sz w:val="28"/>
        </w:rPr>
        <w:t>全国石油专用计量测试技术委员会</w:t>
      </w:r>
      <w:r>
        <w:rPr>
          <w:rFonts w:ascii="Times New Roman" w:hAnsi="Times New Roman"/>
          <w:color w:val="000000"/>
          <w:kern w:val="0"/>
          <w:sz w:val="28"/>
        </w:rPr>
        <w:t>负责解释</w:t>
      </w:r>
    </w:p>
    <w:p w14:paraId="43792D7B">
      <w:pPr>
        <w:pStyle w:val="10"/>
        <w:spacing w:line="360" w:lineRule="auto"/>
        <w:rPr>
          <w:rFonts w:ascii="Times New Roman" w:hAnsi="Times New Roman"/>
          <w:b/>
          <w:sz w:val="28"/>
        </w:rPr>
      </w:pPr>
    </w:p>
    <w:p w14:paraId="71AFEF48">
      <w:pPr>
        <w:pStyle w:val="10"/>
        <w:spacing w:line="360" w:lineRule="auto"/>
        <w:rPr>
          <w:rFonts w:ascii="Times New Roman" w:hAnsi="Times New Roman"/>
          <w:b/>
          <w:sz w:val="28"/>
        </w:rPr>
      </w:pPr>
    </w:p>
    <w:p w14:paraId="65F5C14A">
      <w:pPr>
        <w:pStyle w:val="10"/>
        <w:spacing w:line="360" w:lineRule="auto"/>
        <w:rPr>
          <w:rFonts w:ascii="Times New Roman" w:hAnsi="Times New Roman"/>
          <w:b/>
          <w:sz w:val="28"/>
        </w:rPr>
      </w:pPr>
    </w:p>
    <w:p w14:paraId="4A4040E4">
      <w:pPr>
        <w:pStyle w:val="10"/>
        <w:spacing w:line="360" w:lineRule="auto"/>
        <w:ind w:firstLine="560" w:firstLineChars="200"/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黑体"/>
          <w:sz w:val="28"/>
        </w:rPr>
        <w:t xml:space="preserve">本规范主要起草人： </w:t>
      </w:r>
    </w:p>
    <w:p w14:paraId="4B5426F2">
      <w:pPr>
        <w:ind w:firstLine="1820" w:firstLineChars="650"/>
        <w:rPr>
          <w:rFonts w:eastAsia="黑体"/>
          <w:kern w:val="0"/>
          <w:sz w:val="28"/>
          <w:szCs w:val="20"/>
        </w:rPr>
      </w:pPr>
      <w:r>
        <w:rPr>
          <w:rFonts w:hint="eastAsia" w:eastAsia="黑体"/>
          <w:kern w:val="0"/>
          <w:sz w:val="28"/>
          <w:szCs w:val="20"/>
        </w:rPr>
        <w:t xml:space="preserve">   </w:t>
      </w:r>
    </w:p>
    <w:p w14:paraId="5426C2B7">
      <w:pPr>
        <w:pStyle w:val="10"/>
        <w:spacing w:line="360" w:lineRule="auto"/>
        <w:ind w:firstLine="1365"/>
        <w:rPr>
          <w:rFonts w:ascii="Times New Roman" w:hAnsi="Times New Roman" w:eastAsia="黑体"/>
          <w:sz w:val="28"/>
        </w:rPr>
      </w:pPr>
      <w:r>
        <w:rPr>
          <w:rFonts w:ascii="Times New Roman" w:hAnsi="Times New Roman" w:eastAsia="黑体"/>
          <w:sz w:val="28"/>
        </w:rPr>
        <w:t xml:space="preserve">参加起草人： </w:t>
      </w:r>
    </w:p>
    <w:p w14:paraId="376D10FA">
      <w:pPr>
        <w:ind w:firstLine="1680" w:firstLineChars="600"/>
        <w:rPr>
          <w:rFonts w:eastAsia="黑体"/>
          <w:kern w:val="0"/>
          <w:sz w:val="28"/>
          <w:szCs w:val="20"/>
        </w:rPr>
      </w:pPr>
    </w:p>
    <w:p w14:paraId="6083A352">
      <w:pPr>
        <w:ind w:firstLine="1960" w:firstLineChars="700"/>
        <w:rPr>
          <w:rFonts w:eastAsia="黑体"/>
          <w:kern w:val="0"/>
          <w:sz w:val="28"/>
          <w:szCs w:val="20"/>
        </w:rPr>
      </w:pPr>
    </w:p>
    <w:p w14:paraId="32090EE9">
      <w:pPr>
        <w:ind w:firstLine="1960" w:firstLineChars="700"/>
        <w:rPr>
          <w:rFonts w:eastAsia="黑体"/>
          <w:color w:val="00B0F0"/>
          <w:kern w:val="0"/>
          <w:sz w:val="28"/>
          <w:szCs w:val="20"/>
        </w:rPr>
      </w:pPr>
    </w:p>
    <w:p w14:paraId="17E0B42B">
      <w:pPr>
        <w:ind w:firstLine="1400" w:firstLineChars="500"/>
        <w:rPr>
          <w:sz w:val="28"/>
        </w:rPr>
      </w:pPr>
    </w:p>
    <w:p w14:paraId="30019155">
      <w:pPr>
        <w:rPr>
          <w:sz w:val="24"/>
        </w:rPr>
      </w:pPr>
    </w:p>
    <w:p w14:paraId="1796D820">
      <w:pPr>
        <w:rPr>
          <w:sz w:val="24"/>
        </w:rPr>
      </w:pPr>
    </w:p>
    <w:p w14:paraId="25EFD29C">
      <w:pPr>
        <w:rPr>
          <w:sz w:val="24"/>
        </w:rPr>
      </w:pPr>
    </w:p>
    <w:p w14:paraId="0A64C809">
      <w:pPr>
        <w:rPr>
          <w:sz w:val="24"/>
        </w:rPr>
        <w:sectPr>
          <w:headerReference r:id="rId9" w:type="first"/>
          <w:footerReference r:id="rId12" w:type="first"/>
          <w:headerReference r:id="rId7" w:type="default"/>
          <w:footerReference r:id="rId10" w:type="default"/>
          <w:headerReference r:id="rId8" w:type="even"/>
          <w:footerReference r:id="rId11" w:type="even"/>
          <w:type w:val="continuous"/>
          <w:pgSz w:w="11906" w:h="16838"/>
          <w:pgMar w:top="1440" w:right="1418" w:bottom="1440" w:left="1418" w:header="851" w:footer="992" w:gutter="0"/>
          <w:pgNumType w:fmt="upperRoman"/>
          <w:cols w:space="720" w:num="1"/>
          <w:titlePg/>
          <w:docGrid w:type="lines" w:linePitch="312" w:charSpace="0"/>
        </w:sectPr>
      </w:pPr>
    </w:p>
    <w:p w14:paraId="69CE11CC">
      <w:pPr>
        <w:rPr>
          <w:sz w:val="24"/>
        </w:rPr>
      </w:pPr>
    </w:p>
    <w:p w14:paraId="6A194D9D">
      <w:pPr>
        <w:spacing w:line="360" w:lineRule="auto"/>
        <w:jc w:val="center"/>
        <w:rPr>
          <w:rFonts w:eastAsia="黑体"/>
          <w:spacing w:val="92"/>
          <w:sz w:val="44"/>
          <w:szCs w:val="44"/>
        </w:rPr>
      </w:pPr>
      <w:r>
        <w:rPr>
          <w:rFonts w:eastAsia="黑体"/>
          <w:spacing w:val="92"/>
          <w:sz w:val="44"/>
          <w:szCs w:val="44"/>
        </w:rPr>
        <w:t>目</w:t>
      </w:r>
      <w:r>
        <w:rPr>
          <w:rFonts w:eastAsia="黑体"/>
          <w:sz w:val="44"/>
          <w:szCs w:val="44"/>
        </w:rPr>
        <w:t xml:space="preserve">   </w:t>
      </w:r>
      <w:r>
        <w:rPr>
          <w:rFonts w:eastAsia="黑体"/>
          <w:spacing w:val="92"/>
          <w:sz w:val="44"/>
          <w:szCs w:val="44"/>
        </w:rPr>
        <w:t>录</w:t>
      </w:r>
    </w:p>
    <w:p w14:paraId="654C98A2">
      <w:pPr>
        <w:spacing w:line="300" w:lineRule="auto"/>
        <w:jc w:val="distribute"/>
        <w:rPr>
          <w:sz w:val="24"/>
        </w:rPr>
      </w:pPr>
      <w:r>
        <w:rPr>
          <w:sz w:val="24"/>
        </w:rPr>
        <w:t>引言 ……………………………………………………………………………………… (</w:t>
      </w:r>
      <w:r>
        <w:rPr>
          <w:rFonts w:hint="eastAsia" w:ascii="宋体" w:hAnsi="宋体" w:cs="宋体"/>
          <w:sz w:val="24"/>
        </w:rPr>
        <w:t>Ⅴ</w:t>
      </w:r>
      <w:r>
        <w:rPr>
          <w:sz w:val="24"/>
        </w:rPr>
        <w:t>)</w:t>
      </w:r>
    </w:p>
    <w:p w14:paraId="75F8E1EA">
      <w:pPr>
        <w:spacing w:line="300" w:lineRule="auto"/>
        <w:jc w:val="distribute"/>
        <w:rPr>
          <w:sz w:val="24"/>
        </w:rPr>
      </w:pPr>
      <w:r>
        <w:rPr>
          <w:sz w:val="24"/>
        </w:rPr>
        <w:t>1  范围……………………………………………………………………………………(1)</w:t>
      </w:r>
    </w:p>
    <w:p w14:paraId="257B38D7">
      <w:pPr>
        <w:spacing w:line="300" w:lineRule="auto"/>
        <w:jc w:val="distribute"/>
        <w:rPr>
          <w:sz w:val="24"/>
        </w:rPr>
      </w:pPr>
      <w:r>
        <w:rPr>
          <w:sz w:val="24"/>
        </w:rPr>
        <w:t>2  引用文件 ………………………………………………………………………………(1)</w:t>
      </w:r>
    </w:p>
    <w:p w14:paraId="0EA5636D">
      <w:pPr>
        <w:spacing w:line="300" w:lineRule="auto"/>
        <w:jc w:val="distribute"/>
        <w:rPr>
          <w:sz w:val="24"/>
        </w:rPr>
      </w:pPr>
      <w:r>
        <w:rPr>
          <w:sz w:val="24"/>
        </w:rPr>
        <w:t xml:space="preserve">3  </w:t>
      </w:r>
      <w:r>
        <w:rPr>
          <w:rFonts w:hint="eastAsia"/>
          <w:sz w:val="24"/>
        </w:rPr>
        <w:t>术语</w:t>
      </w:r>
      <w:r>
        <w:rPr>
          <w:sz w:val="24"/>
        </w:rPr>
        <w:t xml:space="preserve"> ……………………………………………………………………………………(1)</w:t>
      </w:r>
    </w:p>
    <w:p w14:paraId="4E270AA1">
      <w:pPr>
        <w:spacing w:line="300" w:lineRule="auto"/>
        <w:jc w:val="distribute"/>
        <w:rPr>
          <w:sz w:val="24"/>
        </w:rPr>
      </w:pPr>
      <w:r>
        <w:rPr>
          <w:sz w:val="24"/>
        </w:rPr>
        <w:t>4  概述 ……………………………………………………………………………………(1)</w:t>
      </w:r>
    </w:p>
    <w:p w14:paraId="5BE80AC9">
      <w:pPr>
        <w:spacing w:line="300" w:lineRule="auto"/>
        <w:jc w:val="distribute"/>
        <w:rPr>
          <w:sz w:val="24"/>
        </w:rPr>
      </w:pPr>
      <w:r>
        <w:rPr>
          <w:sz w:val="24"/>
        </w:rPr>
        <w:t>5  计量特性 ………………………………………………………………………………(</w:t>
      </w:r>
      <w:r>
        <w:rPr>
          <w:rFonts w:hint="eastAsia"/>
          <w:sz w:val="24"/>
        </w:rPr>
        <w:t>2</w:t>
      </w:r>
      <w:r>
        <w:rPr>
          <w:sz w:val="24"/>
        </w:rPr>
        <w:t>)</w:t>
      </w:r>
    </w:p>
    <w:p w14:paraId="3F84132A">
      <w:pPr>
        <w:spacing w:line="300" w:lineRule="auto"/>
        <w:jc w:val="distribute"/>
        <w:rPr>
          <w:sz w:val="24"/>
        </w:rPr>
      </w:pPr>
      <w:r>
        <w:rPr>
          <w:sz w:val="24"/>
        </w:rPr>
        <w:t>6  校准条件………………………………………………………………………………(</w:t>
      </w:r>
      <w:r>
        <w:rPr>
          <w:rFonts w:hint="eastAsia"/>
          <w:sz w:val="24"/>
        </w:rPr>
        <w:t>2</w:t>
      </w:r>
      <w:r>
        <w:rPr>
          <w:sz w:val="24"/>
        </w:rPr>
        <w:t>)</w:t>
      </w:r>
    </w:p>
    <w:p w14:paraId="06680149">
      <w:pPr>
        <w:spacing w:line="300" w:lineRule="auto"/>
        <w:jc w:val="distribute"/>
        <w:rPr>
          <w:sz w:val="24"/>
        </w:rPr>
      </w:pPr>
      <w:r>
        <w:rPr>
          <w:sz w:val="24"/>
        </w:rPr>
        <w:t>6.1环境条件 ………………………………………………………………………………(</w:t>
      </w:r>
      <w:r>
        <w:rPr>
          <w:rFonts w:hint="eastAsia"/>
          <w:sz w:val="24"/>
        </w:rPr>
        <w:t>3</w:t>
      </w:r>
      <w:r>
        <w:rPr>
          <w:sz w:val="24"/>
        </w:rPr>
        <w:t>)</w:t>
      </w:r>
    </w:p>
    <w:p w14:paraId="11273A71">
      <w:pPr>
        <w:spacing w:line="360" w:lineRule="auto"/>
        <w:jc w:val="distribute"/>
        <w:rPr>
          <w:sz w:val="24"/>
        </w:rPr>
      </w:pPr>
      <w:r>
        <w:rPr>
          <w:sz w:val="24"/>
        </w:rPr>
        <w:t>6.2</w:t>
      </w:r>
      <w:r>
        <w:rPr>
          <w:rFonts w:hint="eastAsia"/>
          <w:sz w:val="24"/>
        </w:rPr>
        <w:t>测量标准及其他设备</w:t>
      </w:r>
      <w:r>
        <w:rPr>
          <w:sz w:val="24"/>
        </w:rPr>
        <w:t>………………………………………………………………(</w:t>
      </w:r>
      <w:r>
        <w:rPr>
          <w:rFonts w:hint="eastAsia"/>
          <w:sz w:val="24"/>
        </w:rPr>
        <w:t>3</w:t>
      </w:r>
      <w:r>
        <w:rPr>
          <w:sz w:val="24"/>
        </w:rPr>
        <w:t>)</w:t>
      </w:r>
    </w:p>
    <w:p w14:paraId="27B00FD5">
      <w:pPr>
        <w:spacing w:line="300" w:lineRule="auto"/>
        <w:jc w:val="distribute"/>
        <w:rPr>
          <w:sz w:val="24"/>
        </w:rPr>
      </w:pPr>
      <w:r>
        <w:rPr>
          <w:sz w:val="24"/>
        </w:rPr>
        <w:t>7  校准项目和校准方法…………………………………………………………………(</w:t>
      </w:r>
      <w:r>
        <w:rPr>
          <w:rFonts w:hint="eastAsia"/>
          <w:sz w:val="24"/>
        </w:rPr>
        <w:t>3</w:t>
      </w:r>
      <w:r>
        <w:rPr>
          <w:sz w:val="24"/>
        </w:rPr>
        <w:t>)</w:t>
      </w:r>
    </w:p>
    <w:p w14:paraId="4C9C01A3">
      <w:pPr>
        <w:spacing w:line="300" w:lineRule="auto"/>
        <w:jc w:val="distribute"/>
        <w:rPr>
          <w:sz w:val="24"/>
        </w:rPr>
      </w:pPr>
      <w:r>
        <w:rPr>
          <w:sz w:val="24"/>
        </w:rPr>
        <w:t>7.1</w:t>
      </w:r>
      <w:r>
        <w:rPr>
          <w:rFonts w:hint="eastAsia"/>
          <w:sz w:val="24"/>
        </w:rPr>
        <w:t>校准前检查</w:t>
      </w:r>
      <w:r>
        <w:rPr>
          <w:sz w:val="24"/>
        </w:rPr>
        <w:t>……………………………………………………………………………(</w:t>
      </w:r>
      <w:r>
        <w:rPr>
          <w:rFonts w:hint="eastAsia"/>
          <w:sz w:val="24"/>
        </w:rPr>
        <w:t>3</w:t>
      </w:r>
      <w:r>
        <w:rPr>
          <w:sz w:val="24"/>
        </w:rPr>
        <w:t>)</w:t>
      </w:r>
    </w:p>
    <w:p w14:paraId="63298826">
      <w:pPr>
        <w:spacing w:line="300" w:lineRule="auto"/>
        <w:jc w:val="distribute"/>
        <w:rPr>
          <w:sz w:val="24"/>
        </w:rPr>
      </w:pPr>
      <w:r>
        <w:rPr>
          <w:sz w:val="24"/>
        </w:rPr>
        <w:t>7.</w:t>
      </w:r>
      <w:r>
        <w:rPr>
          <w:rFonts w:hint="eastAsia"/>
          <w:sz w:val="24"/>
        </w:rPr>
        <w:t>2水浴温度偏差</w:t>
      </w:r>
      <w:r>
        <w:rPr>
          <w:sz w:val="24"/>
        </w:rPr>
        <w:t>……………………………………………………………………………(</w:t>
      </w:r>
      <w:r>
        <w:rPr>
          <w:rFonts w:hint="eastAsia"/>
          <w:sz w:val="24"/>
        </w:rPr>
        <w:t>3</w:t>
      </w:r>
      <w:r>
        <w:rPr>
          <w:sz w:val="24"/>
        </w:rPr>
        <w:t>)</w:t>
      </w:r>
    </w:p>
    <w:p w14:paraId="3681071B">
      <w:pPr>
        <w:spacing w:line="300" w:lineRule="auto"/>
        <w:jc w:val="distribute"/>
        <w:rPr>
          <w:sz w:val="24"/>
        </w:rPr>
      </w:pPr>
      <w:r>
        <w:rPr>
          <w:sz w:val="24"/>
        </w:rPr>
        <w:t>7.</w:t>
      </w:r>
      <w:r>
        <w:rPr>
          <w:rFonts w:hint="eastAsia"/>
          <w:sz w:val="24"/>
        </w:rPr>
        <w:t>3计时误差</w:t>
      </w:r>
      <w:r>
        <w:rPr>
          <w:sz w:val="24"/>
        </w:rPr>
        <w:t>……………………………………………………………………………(</w:t>
      </w:r>
      <w:r>
        <w:rPr>
          <w:rFonts w:hint="eastAsia"/>
          <w:sz w:val="24"/>
        </w:rPr>
        <w:t>3</w:t>
      </w:r>
      <w:r>
        <w:rPr>
          <w:sz w:val="24"/>
        </w:rPr>
        <w:t>)</w:t>
      </w:r>
    </w:p>
    <w:p w14:paraId="578F37D9">
      <w:pPr>
        <w:spacing w:line="300" w:lineRule="auto"/>
        <w:jc w:val="left"/>
        <w:rPr>
          <w:sz w:val="24"/>
        </w:rPr>
      </w:pPr>
      <w:r>
        <w:rPr>
          <w:sz w:val="24"/>
        </w:rPr>
        <w:t>7.</w:t>
      </w:r>
      <w:r>
        <w:rPr>
          <w:rFonts w:hint="eastAsia"/>
          <w:sz w:val="24"/>
        </w:rPr>
        <w:t>4针（锥）入度示值误差</w:t>
      </w:r>
      <w:r>
        <w:rPr>
          <w:sz w:val="24"/>
        </w:rPr>
        <w:t>……………………………………………………………………(</w:t>
      </w:r>
      <w:r>
        <w:rPr>
          <w:rFonts w:hint="eastAsia"/>
          <w:sz w:val="24"/>
        </w:rPr>
        <w:t>4</w:t>
      </w:r>
      <w:r>
        <w:rPr>
          <w:sz w:val="24"/>
        </w:rPr>
        <w:t>)</w:t>
      </w:r>
    </w:p>
    <w:p w14:paraId="17F86D51">
      <w:pPr>
        <w:spacing w:line="300" w:lineRule="auto"/>
        <w:jc w:val="distribute"/>
        <w:rPr>
          <w:sz w:val="24"/>
        </w:rPr>
      </w:pPr>
      <w:r>
        <w:rPr>
          <w:sz w:val="24"/>
        </w:rPr>
        <w:t>7.</w:t>
      </w:r>
      <w:r>
        <w:rPr>
          <w:rFonts w:hint="eastAsia"/>
          <w:sz w:val="24"/>
        </w:rPr>
        <w:t>5针（锥）入度测量重复性</w:t>
      </w:r>
      <w:r>
        <w:rPr>
          <w:sz w:val="24"/>
        </w:rPr>
        <w:t>…………………………………………………………………(</w:t>
      </w:r>
      <w:r>
        <w:rPr>
          <w:rFonts w:hint="eastAsia"/>
          <w:sz w:val="24"/>
        </w:rPr>
        <w:t>4</w:t>
      </w:r>
      <w:r>
        <w:rPr>
          <w:sz w:val="24"/>
        </w:rPr>
        <w:t>)</w:t>
      </w:r>
    </w:p>
    <w:p w14:paraId="1E698D31">
      <w:pPr>
        <w:spacing w:line="300" w:lineRule="auto"/>
        <w:jc w:val="distribute"/>
        <w:rPr>
          <w:sz w:val="24"/>
        </w:rPr>
      </w:pPr>
      <w:r>
        <w:rPr>
          <w:sz w:val="24"/>
        </w:rPr>
        <w:t xml:space="preserve">8  </w:t>
      </w:r>
      <w:r>
        <w:rPr>
          <w:bCs/>
          <w:sz w:val="24"/>
        </w:rPr>
        <w:t>校准结果</w:t>
      </w:r>
      <w:r>
        <w:rPr>
          <w:rFonts w:hint="eastAsia"/>
          <w:bCs/>
          <w:sz w:val="24"/>
        </w:rPr>
        <w:t>表达</w:t>
      </w:r>
      <w:r>
        <w:rPr>
          <w:bCs/>
          <w:sz w:val="24"/>
        </w:rPr>
        <w:t xml:space="preserve"> </w:t>
      </w:r>
      <w:r>
        <w:rPr>
          <w:sz w:val="24"/>
        </w:rPr>
        <w:t xml:space="preserve"> ……………………………………………………………………...…(</w:t>
      </w:r>
      <w:r>
        <w:rPr>
          <w:rFonts w:hint="eastAsia"/>
          <w:sz w:val="24"/>
        </w:rPr>
        <w:t>4</w:t>
      </w:r>
      <w:r>
        <w:rPr>
          <w:sz w:val="24"/>
        </w:rPr>
        <w:t>)</w:t>
      </w:r>
    </w:p>
    <w:p w14:paraId="1D83EB1E">
      <w:pPr>
        <w:spacing w:line="300" w:lineRule="auto"/>
        <w:jc w:val="distribute"/>
        <w:rPr>
          <w:sz w:val="24"/>
        </w:rPr>
      </w:pPr>
      <w:r>
        <w:rPr>
          <w:sz w:val="24"/>
        </w:rPr>
        <w:t>9  复校时间间隔  ………………………………………………………………………(</w:t>
      </w:r>
      <w:r>
        <w:rPr>
          <w:rFonts w:hint="eastAsia"/>
          <w:sz w:val="24"/>
        </w:rPr>
        <w:t>4</w:t>
      </w:r>
      <w:r>
        <w:rPr>
          <w:sz w:val="24"/>
        </w:rPr>
        <w:t>)</w:t>
      </w:r>
    </w:p>
    <w:p w14:paraId="5A9C90C2">
      <w:pPr>
        <w:spacing w:line="300" w:lineRule="auto"/>
        <w:jc w:val="distribute"/>
        <w:rPr>
          <w:sz w:val="24"/>
        </w:rPr>
      </w:pPr>
      <w:r>
        <w:rPr>
          <w:sz w:val="24"/>
        </w:rPr>
        <w:t>附</w:t>
      </w:r>
      <w:r>
        <w:rPr>
          <w:rFonts w:hint="eastAsia"/>
          <w:sz w:val="24"/>
        </w:rPr>
        <w:t>录</w:t>
      </w:r>
      <w:r>
        <w:rPr>
          <w:sz w:val="24"/>
        </w:rPr>
        <w:t>A</w:t>
      </w:r>
      <w:r>
        <w:rPr>
          <w:rFonts w:hint="eastAsia"/>
          <w:sz w:val="24"/>
        </w:rPr>
        <w:t>石油产品针（锥）入度</w:t>
      </w:r>
      <w:r>
        <w:rPr>
          <w:sz w:val="24"/>
        </w:rPr>
        <w:t>测定仪</w:t>
      </w:r>
      <w:r>
        <w:rPr>
          <w:rFonts w:hint="eastAsia"/>
          <w:sz w:val="24"/>
        </w:rPr>
        <w:t>用标准针（锥）计量特性测试方法</w:t>
      </w:r>
      <w:r>
        <w:rPr>
          <w:sz w:val="24"/>
        </w:rPr>
        <w:t>(</w:t>
      </w:r>
      <w:r>
        <w:rPr>
          <w:rFonts w:hint="eastAsia"/>
          <w:sz w:val="24"/>
        </w:rPr>
        <w:t>6</w:t>
      </w:r>
      <w:r>
        <w:rPr>
          <w:sz w:val="24"/>
        </w:rPr>
        <w:t>)</w:t>
      </w:r>
    </w:p>
    <w:p w14:paraId="46EC799A">
      <w:pPr>
        <w:spacing w:line="300" w:lineRule="auto"/>
        <w:jc w:val="distribute"/>
        <w:rPr>
          <w:sz w:val="24"/>
        </w:rPr>
      </w:pPr>
      <w:r>
        <w:rPr>
          <w:sz w:val="24"/>
        </w:rPr>
        <w:t>附</w:t>
      </w:r>
      <w:r>
        <w:rPr>
          <w:rFonts w:hint="eastAsia" w:hAnsi="宋体"/>
          <w:sz w:val="24"/>
        </w:rPr>
        <w:t>录</w:t>
      </w:r>
      <w:r>
        <w:rPr>
          <w:rFonts w:hint="eastAsia"/>
          <w:sz w:val="24"/>
        </w:rPr>
        <w:t>B石油产品针（锥）入度</w:t>
      </w:r>
      <w:r>
        <w:rPr>
          <w:bCs/>
          <w:sz w:val="24"/>
        </w:rPr>
        <w:t>测定仪</w:t>
      </w:r>
      <w:r>
        <w:rPr>
          <w:rFonts w:hint="eastAsia"/>
          <w:bCs/>
          <w:sz w:val="24"/>
        </w:rPr>
        <w:t>校准原始记录参考格式</w:t>
      </w:r>
      <w:r>
        <w:rPr>
          <w:sz w:val="24"/>
        </w:rPr>
        <w:t>……………………………(</w:t>
      </w:r>
      <w:r>
        <w:rPr>
          <w:rFonts w:hint="eastAsia"/>
          <w:sz w:val="24"/>
        </w:rPr>
        <w:t>9</w:t>
      </w:r>
      <w:r>
        <w:rPr>
          <w:sz w:val="24"/>
        </w:rPr>
        <w:t>)</w:t>
      </w:r>
    </w:p>
    <w:p w14:paraId="43966B8C">
      <w:pPr>
        <w:spacing w:line="300" w:lineRule="auto"/>
        <w:jc w:val="distribute"/>
        <w:rPr>
          <w:sz w:val="24"/>
        </w:rPr>
      </w:pPr>
      <w:r>
        <w:rPr>
          <w:sz w:val="24"/>
        </w:rPr>
        <w:t>附</w:t>
      </w:r>
      <w:r>
        <w:rPr>
          <w:rFonts w:hAnsi="宋体"/>
          <w:sz w:val="24"/>
        </w:rPr>
        <w:t>录</w:t>
      </w:r>
      <w:r>
        <w:rPr>
          <w:rFonts w:hint="eastAsia"/>
          <w:sz w:val="24"/>
        </w:rPr>
        <w:t>C石油产品针（锥）入度</w:t>
      </w:r>
      <w:r>
        <w:rPr>
          <w:bCs/>
          <w:sz w:val="24"/>
        </w:rPr>
        <w:t>测定仪</w:t>
      </w:r>
      <w:r>
        <w:rPr>
          <w:sz w:val="24"/>
        </w:rPr>
        <w:t>校准证书内页</w:t>
      </w:r>
      <w:r>
        <w:rPr>
          <w:rFonts w:hint="eastAsia"/>
          <w:sz w:val="24"/>
        </w:rPr>
        <w:t>参考</w:t>
      </w:r>
      <w:r>
        <w:rPr>
          <w:sz w:val="24"/>
        </w:rPr>
        <w:t>格</w:t>
      </w:r>
      <w:r>
        <w:rPr>
          <w:rFonts w:hint="eastAsia"/>
          <w:sz w:val="24"/>
        </w:rPr>
        <w:t>式</w:t>
      </w:r>
      <w:r>
        <w:rPr>
          <w:sz w:val="24"/>
        </w:rPr>
        <w:t>……………………………(</w:t>
      </w:r>
      <w:r>
        <w:rPr>
          <w:rFonts w:hint="eastAsia"/>
          <w:sz w:val="24"/>
        </w:rPr>
        <w:t>10</w:t>
      </w:r>
      <w:r>
        <w:rPr>
          <w:sz w:val="24"/>
        </w:rPr>
        <w:t>)</w:t>
      </w:r>
    </w:p>
    <w:p w14:paraId="5899E349">
      <w:pPr>
        <w:spacing w:line="300" w:lineRule="auto"/>
        <w:jc w:val="distribute"/>
        <w:rPr>
          <w:sz w:val="24"/>
        </w:rPr>
      </w:pPr>
      <w:r>
        <w:rPr>
          <w:sz w:val="24"/>
        </w:rPr>
        <w:t>附</w:t>
      </w:r>
      <w:r>
        <w:rPr>
          <w:rFonts w:hAnsi="宋体"/>
          <w:sz w:val="24"/>
        </w:rPr>
        <w:t>录</w:t>
      </w:r>
      <w:r>
        <w:rPr>
          <w:rFonts w:hint="eastAsia"/>
          <w:sz w:val="24"/>
        </w:rPr>
        <w:t>D</w:t>
      </w:r>
      <w:r>
        <w:rPr>
          <w:rFonts w:hint="eastAsia" w:hAnsi="宋体"/>
          <w:bCs/>
          <w:sz w:val="24"/>
        </w:rPr>
        <w:t>示值误差校准</w:t>
      </w:r>
      <w:r>
        <w:rPr>
          <w:rFonts w:hAnsi="宋体"/>
          <w:bCs/>
          <w:sz w:val="24"/>
        </w:rPr>
        <w:t>结果</w:t>
      </w:r>
      <w:r>
        <w:rPr>
          <w:rFonts w:hint="eastAsia" w:hAnsi="宋体"/>
          <w:bCs/>
          <w:sz w:val="24"/>
        </w:rPr>
        <w:t>测量</w:t>
      </w:r>
      <w:r>
        <w:rPr>
          <w:rFonts w:hAnsi="宋体"/>
          <w:bCs/>
          <w:sz w:val="24"/>
        </w:rPr>
        <w:t>不确定度评定示例</w:t>
      </w:r>
      <w:r>
        <w:rPr>
          <w:rFonts w:hint="eastAsia"/>
          <w:sz w:val="24"/>
        </w:rPr>
        <w:t xml:space="preserve"> </w:t>
      </w:r>
      <w:r>
        <w:rPr>
          <w:sz w:val="24"/>
        </w:rPr>
        <w:t>……………………………………</w:t>
      </w:r>
      <w:r>
        <w:rPr>
          <w:rFonts w:hint="eastAsia"/>
          <w:sz w:val="24"/>
        </w:rPr>
        <w:t xml:space="preserve"> </w:t>
      </w:r>
      <w:r>
        <w:rPr>
          <w:sz w:val="24"/>
        </w:rPr>
        <w:t>(</w:t>
      </w:r>
      <w:r>
        <w:rPr>
          <w:rFonts w:hint="eastAsia"/>
          <w:sz w:val="24"/>
        </w:rPr>
        <w:t>11</w:t>
      </w:r>
      <w:r>
        <w:rPr>
          <w:sz w:val="24"/>
        </w:rPr>
        <w:t>)</w:t>
      </w:r>
    </w:p>
    <w:p w14:paraId="782AC34B">
      <w:pPr>
        <w:spacing w:line="480" w:lineRule="auto"/>
        <w:jc w:val="center"/>
        <w:rPr>
          <w:rFonts w:eastAsia="黑体"/>
          <w:b/>
          <w:sz w:val="44"/>
          <w:szCs w:val="44"/>
        </w:rPr>
      </w:pPr>
    </w:p>
    <w:p w14:paraId="7FFC4585">
      <w:pPr>
        <w:spacing w:line="480" w:lineRule="auto"/>
        <w:jc w:val="center"/>
        <w:rPr>
          <w:rFonts w:eastAsia="黑体"/>
          <w:b/>
          <w:sz w:val="44"/>
          <w:szCs w:val="44"/>
        </w:rPr>
      </w:pPr>
    </w:p>
    <w:p w14:paraId="129B672D">
      <w:pPr>
        <w:spacing w:line="480" w:lineRule="auto"/>
        <w:jc w:val="center"/>
        <w:rPr>
          <w:rFonts w:eastAsia="黑体"/>
          <w:b/>
          <w:sz w:val="44"/>
          <w:szCs w:val="44"/>
        </w:rPr>
      </w:pPr>
    </w:p>
    <w:p w14:paraId="194BCA7E">
      <w:pPr>
        <w:spacing w:line="480" w:lineRule="auto"/>
        <w:jc w:val="center"/>
        <w:rPr>
          <w:rFonts w:eastAsia="黑体"/>
          <w:b/>
          <w:sz w:val="44"/>
          <w:szCs w:val="44"/>
        </w:rPr>
      </w:pPr>
    </w:p>
    <w:p w14:paraId="6614B305">
      <w:pPr>
        <w:spacing w:line="480" w:lineRule="auto"/>
        <w:jc w:val="center"/>
        <w:rPr>
          <w:rFonts w:eastAsia="黑体"/>
          <w:b/>
          <w:sz w:val="44"/>
          <w:szCs w:val="44"/>
        </w:rPr>
      </w:pPr>
    </w:p>
    <w:p w14:paraId="61EDA6F7">
      <w:pPr>
        <w:spacing w:line="480" w:lineRule="auto"/>
        <w:jc w:val="center"/>
        <w:rPr>
          <w:rFonts w:eastAsia="黑体"/>
          <w:b/>
          <w:sz w:val="44"/>
          <w:szCs w:val="44"/>
        </w:rPr>
      </w:pPr>
    </w:p>
    <w:p w14:paraId="4BD57678">
      <w:pPr>
        <w:spacing w:line="480" w:lineRule="auto"/>
        <w:jc w:val="center"/>
        <w:rPr>
          <w:rFonts w:eastAsia="黑体"/>
          <w:b/>
          <w:sz w:val="44"/>
          <w:szCs w:val="44"/>
        </w:rPr>
      </w:pPr>
    </w:p>
    <w:p w14:paraId="1F9F30C8">
      <w:pPr>
        <w:spacing w:line="480" w:lineRule="auto"/>
        <w:jc w:val="center"/>
        <w:rPr>
          <w:rFonts w:eastAsia="黑体"/>
          <w:b/>
          <w:sz w:val="44"/>
          <w:szCs w:val="44"/>
        </w:rPr>
      </w:pPr>
    </w:p>
    <w:p w14:paraId="4BBA455E">
      <w:pPr>
        <w:spacing w:line="480" w:lineRule="auto"/>
        <w:jc w:val="center"/>
        <w:rPr>
          <w:rFonts w:eastAsia="黑体"/>
          <w:b/>
          <w:sz w:val="44"/>
          <w:szCs w:val="44"/>
        </w:rPr>
      </w:pPr>
    </w:p>
    <w:p w14:paraId="7FFE6E35">
      <w:pPr>
        <w:spacing w:line="480" w:lineRule="auto"/>
        <w:jc w:val="center"/>
        <w:rPr>
          <w:rFonts w:eastAsia="黑体"/>
          <w:b/>
          <w:sz w:val="44"/>
          <w:szCs w:val="44"/>
        </w:rPr>
      </w:pPr>
    </w:p>
    <w:p w14:paraId="2EDF051E">
      <w:pPr>
        <w:spacing w:line="480" w:lineRule="auto"/>
        <w:jc w:val="center"/>
        <w:rPr>
          <w:rFonts w:eastAsia="黑体"/>
          <w:b/>
          <w:sz w:val="44"/>
          <w:szCs w:val="44"/>
        </w:rPr>
      </w:pPr>
      <w:r>
        <w:rPr>
          <w:rFonts w:eastAsia="黑体"/>
          <w:b/>
          <w:sz w:val="44"/>
          <w:szCs w:val="44"/>
        </w:rPr>
        <w:t>引   言</w:t>
      </w:r>
    </w:p>
    <w:p w14:paraId="79A56199">
      <w:pPr>
        <w:ind w:firstLine="360" w:firstLineChars="200"/>
        <w:rPr>
          <w:sz w:val="18"/>
          <w:szCs w:val="18"/>
        </w:rPr>
      </w:pPr>
    </w:p>
    <w:p w14:paraId="448F03F0">
      <w:pPr>
        <w:spacing w:line="360" w:lineRule="auto"/>
        <w:ind w:firstLine="480" w:firstLineChars="200"/>
        <w:rPr>
          <w:rFonts w:hAnsi="宋体"/>
          <w:sz w:val="24"/>
        </w:rPr>
      </w:pPr>
      <w:r>
        <w:rPr>
          <w:rFonts w:hAnsi="宋体"/>
          <w:sz w:val="24"/>
        </w:rPr>
        <w:t>本规范</w:t>
      </w:r>
      <w:r>
        <w:rPr>
          <w:rFonts w:hint="eastAsia" w:hAnsi="宋体"/>
          <w:sz w:val="24"/>
        </w:rPr>
        <w:t>是依据</w:t>
      </w:r>
      <w:r>
        <w:rPr>
          <w:sz w:val="24"/>
        </w:rPr>
        <w:t>JJF 1059.1-2012</w:t>
      </w:r>
      <w:r>
        <w:rPr>
          <w:rFonts w:hAnsi="宋体"/>
          <w:sz w:val="24"/>
        </w:rPr>
        <w:t>《</w:t>
      </w:r>
      <w:r>
        <w:rPr>
          <w:rFonts w:hint="eastAsia" w:ascii="宋体" w:cs="宋体"/>
          <w:color w:val="000000"/>
          <w:kern w:val="0"/>
          <w:sz w:val="24"/>
        </w:rPr>
        <w:t>测量</w:t>
      </w:r>
      <w:r>
        <w:rPr>
          <w:rFonts w:ascii="宋体" w:cs="宋体"/>
          <w:color w:val="000000"/>
          <w:kern w:val="0"/>
          <w:sz w:val="24"/>
        </w:rPr>
        <w:t>不确定度评定与表示</w:t>
      </w:r>
      <w:r>
        <w:rPr>
          <w:rFonts w:hAnsi="宋体"/>
          <w:sz w:val="24"/>
        </w:rPr>
        <w:t>》</w:t>
      </w:r>
      <w:r>
        <w:rPr>
          <w:rFonts w:hint="eastAsia" w:hAnsi="宋体"/>
          <w:sz w:val="24"/>
        </w:rPr>
        <w:t>、</w:t>
      </w:r>
      <w:r>
        <w:rPr>
          <w:sz w:val="24"/>
        </w:rPr>
        <w:t>JJF 1071-2010</w:t>
      </w:r>
      <w:r>
        <w:rPr>
          <w:rFonts w:hAnsi="宋体"/>
          <w:sz w:val="24"/>
        </w:rPr>
        <w:t>《国家计量校准规范编写规则》</w:t>
      </w:r>
      <w:r>
        <w:rPr>
          <w:rFonts w:hint="eastAsia" w:hAnsi="宋体"/>
          <w:sz w:val="24"/>
        </w:rPr>
        <w:t>编制。</w:t>
      </w:r>
    </w:p>
    <w:p w14:paraId="4D37E976">
      <w:pPr>
        <w:spacing w:line="360" w:lineRule="auto"/>
        <w:ind w:firstLine="480" w:firstLineChars="200"/>
        <w:rPr>
          <w:rFonts w:hAnsi="宋体"/>
          <w:sz w:val="24"/>
        </w:rPr>
      </w:pPr>
      <w:r>
        <w:rPr>
          <w:rFonts w:hint="eastAsia" w:hAnsi="宋体"/>
          <w:sz w:val="24"/>
        </w:rPr>
        <w:t>本规范石油产品针（锥）入度测定仪校准方法</w:t>
      </w:r>
      <w:r>
        <w:rPr>
          <w:rFonts w:hAnsi="宋体"/>
          <w:sz w:val="24"/>
        </w:rPr>
        <w:t>参考了</w:t>
      </w:r>
      <w:r>
        <w:rPr>
          <w:rFonts w:hint="eastAsia" w:ascii="宋体" w:hAnsi="宋体" w:cs="宋体"/>
          <w:sz w:val="24"/>
        </w:rPr>
        <w:t>GB/T4985《石油蜡针入度测定法》和GB/T269《润滑脂和石油脂锥入度测定法》</w:t>
      </w:r>
      <w:r>
        <w:rPr>
          <w:rFonts w:hint="eastAsia" w:ascii="宋体" w:cs="宋体"/>
          <w:color w:val="000000"/>
          <w:kern w:val="0"/>
          <w:sz w:val="24"/>
        </w:rPr>
        <w:t>等。</w:t>
      </w:r>
    </w:p>
    <w:p w14:paraId="69B5ACF6">
      <w:pPr>
        <w:spacing w:line="360" w:lineRule="auto"/>
        <w:ind w:firstLine="480" w:firstLineChars="200"/>
        <w:rPr>
          <w:bCs/>
          <w:color w:val="000000"/>
          <w:sz w:val="24"/>
        </w:rPr>
      </w:pPr>
      <w:r>
        <w:rPr>
          <w:rFonts w:hAnsi="宋体"/>
          <w:color w:val="000000"/>
          <w:sz w:val="24"/>
        </w:rPr>
        <w:t>本</w:t>
      </w:r>
      <w:r>
        <w:rPr>
          <w:rFonts w:hint="eastAsia" w:hAnsi="宋体"/>
          <w:color w:val="000000"/>
          <w:sz w:val="24"/>
        </w:rPr>
        <w:t>规范</w:t>
      </w:r>
      <w:r>
        <w:rPr>
          <w:rFonts w:hAnsi="宋体"/>
          <w:color w:val="000000"/>
          <w:sz w:val="24"/>
        </w:rPr>
        <w:t>为首次</w:t>
      </w:r>
      <w:r>
        <w:rPr>
          <w:rFonts w:hint="eastAsia" w:hAnsi="宋体"/>
          <w:color w:val="000000"/>
          <w:sz w:val="24"/>
        </w:rPr>
        <w:t>发布</w:t>
      </w:r>
      <w:r>
        <w:rPr>
          <w:rFonts w:hAnsi="宋体"/>
          <w:color w:val="000000"/>
          <w:sz w:val="24"/>
        </w:rPr>
        <w:t>。</w:t>
      </w:r>
    </w:p>
    <w:p w14:paraId="27FCCD1D">
      <w:pPr>
        <w:spacing w:line="360" w:lineRule="exact"/>
        <w:rPr>
          <w:szCs w:val="21"/>
        </w:rPr>
      </w:pPr>
    </w:p>
    <w:p w14:paraId="7965D445">
      <w:pPr>
        <w:spacing w:line="360" w:lineRule="exact"/>
        <w:rPr>
          <w:szCs w:val="21"/>
        </w:rPr>
      </w:pPr>
    </w:p>
    <w:p w14:paraId="354F7B98">
      <w:pPr>
        <w:spacing w:line="360" w:lineRule="exact"/>
        <w:rPr>
          <w:szCs w:val="21"/>
        </w:rPr>
      </w:pPr>
    </w:p>
    <w:p w14:paraId="0072B11C">
      <w:pPr>
        <w:spacing w:line="360" w:lineRule="exact"/>
        <w:rPr>
          <w:szCs w:val="21"/>
        </w:rPr>
      </w:pPr>
    </w:p>
    <w:p w14:paraId="2E81885A">
      <w:pPr>
        <w:spacing w:line="360" w:lineRule="exact"/>
        <w:rPr>
          <w:szCs w:val="21"/>
        </w:rPr>
      </w:pPr>
    </w:p>
    <w:p w14:paraId="2469D20F">
      <w:pPr>
        <w:spacing w:line="360" w:lineRule="exact"/>
        <w:rPr>
          <w:szCs w:val="21"/>
        </w:rPr>
      </w:pPr>
    </w:p>
    <w:p w14:paraId="09A6258F">
      <w:pPr>
        <w:spacing w:line="360" w:lineRule="exact"/>
        <w:rPr>
          <w:szCs w:val="21"/>
        </w:rPr>
      </w:pPr>
    </w:p>
    <w:p w14:paraId="787D51FB">
      <w:pPr>
        <w:spacing w:line="360" w:lineRule="exact"/>
        <w:rPr>
          <w:szCs w:val="21"/>
        </w:rPr>
      </w:pPr>
    </w:p>
    <w:p w14:paraId="01BF0161">
      <w:pPr>
        <w:spacing w:line="360" w:lineRule="exact"/>
        <w:rPr>
          <w:szCs w:val="21"/>
        </w:rPr>
      </w:pPr>
    </w:p>
    <w:p w14:paraId="5F1B5AF8">
      <w:pPr>
        <w:spacing w:line="360" w:lineRule="exact"/>
        <w:rPr>
          <w:szCs w:val="21"/>
        </w:rPr>
      </w:pPr>
    </w:p>
    <w:p w14:paraId="48BCD48D">
      <w:pPr>
        <w:spacing w:line="360" w:lineRule="exact"/>
        <w:rPr>
          <w:szCs w:val="21"/>
        </w:rPr>
      </w:pPr>
    </w:p>
    <w:p w14:paraId="3AD2AA0F">
      <w:pPr>
        <w:spacing w:line="360" w:lineRule="exact"/>
        <w:rPr>
          <w:szCs w:val="21"/>
        </w:rPr>
      </w:pPr>
    </w:p>
    <w:p w14:paraId="4685C5E4">
      <w:pPr>
        <w:spacing w:line="360" w:lineRule="exact"/>
        <w:rPr>
          <w:szCs w:val="21"/>
        </w:rPr>
      </w:pPr>
    </w:p>
    <w:p w14:paraId="2B2B6912">
      <w:pPr>
        <w:spacing w:line="360" w:lineRule="exact"/>
        <w:rPr>
          <w:szCs w:val="21"/>
        </w:rPr>
      </w:pPr>
    </w:p>
    <w:p w14:paraId="40C704BF">
      <w:pPr>
        <w:spacing w:line="360" w:lineRule="exact"/>
        <w:rPr>
          <w:szCs w:val="21"/>
        </w:rPr>
      </w:pPr>
    </w:p>
    <w:p w14:paraId="0C9023F0">
      <w:pPr>
        <w:spacing w:line="360" w:lineRule="exact"/>
        <w:rPr>
          <w:szCs w:val="21"/>
        </w:rPr>
      </w:pPr>
    </w:p>
    <w:p w14:paraId="438FFAFB">
      <w:pPr>
        <w:spacing w:line="360" w:lineRule="exact"/>
        <w:rPr>
          <w:szCs w:val="21"/>
        </w:rPr>
      </w:pPr>
    </w:p>
    <w:p w14:paraId="060F8B14">
      <w:pPr>
        <w:spacing w:line="360" w:lineRule="exact"/>
        <w:rPr>
          <w:szCs w:val="21"/>
        </w:rPr>
      </w:pPr>
    </w:p>
    <w:p w14:paraId="3E29DE68">
      <w:pPr>
        <w:spacing w:line="360" w:lineRule="exact"/>
        <w:rPr>
          <w:szCs w:val="21"/>
        </w:rPr>
      </w:pPr>
    </w:p>
    <w:p w14:paraId="25B5AC97">
      <w:pPr>
        <w:spacing w:line="360" w:lineRule="exact"/>
        <w:rPr>
          <w:szCs w:val="21"/>
        </w:rPr>
      </w:pPr>
    </w:p>
    <w:p w14:paraId="1A52BA6F">
      <w:pPr>
        <w:spacing w:line="360" w:lineRule="exact"/>
        <w:rPr>
          <w:szCs w:val="21"/>
        </w:rPr>
      </w:pPr>
    </w:p>
    <w:p w14:paraId="15A5EB59">
      <w:pPr>
        <w:spacing w:line="360" w:lineRule="exact"/>
        <w:rPr>
          <w:szCs w:val="21"/>
        </w:rPr>
      </w:pPr>
    </w:p>
    <w:p w14:paraId="69FE1581">
      <w:pPr>
        <w:spacing w:line="360" w:lineRule="exact"/>
        <w:rPr>
          <w:szCs w:val="21"/>
        </w:rPr>
      </w:pPr>
    </w:p>
    <w:p w14:paraId="29F74AB5">
      <w:pPr>
        <w:spacing w:line="360" w:lineRule="exact"/>
        <w:rPr>
          <w:szCs w:val="21"/>
        </w:rPr>
        <w:sectPr>
          <w:footerReference r:id="rId15" w:type="first"/>
          <w:footerReference r:id="rId13" w:type="default"/>
          <w:footerReference r:id="rId14" w:type="even"/>
          <w:pgSz w:w="11906" w:h="16838"/>
          <w:pgMar w:top="1440" w:right="1418" w:bottom="1440" w:left="1418" w:header="851" w:footer="992" w:gutter="0"/>
          <w:pgNumType w:fmt="upperRoman"/>
          <w:cols w:space="720" w:num="1"/>
          <w:docGrid w:type="lines" w:linePitch="312" w:charSpace="0"/>
        </w:sectPr>
      </w:pPr>
    </w:p>
    <w:p w14:paraId="2C1B9483">
      <w:pPr>
        <w:jc w:val="center"/>
        <w:rPr>
          <w:rFonts w:eastAsia="黑体"/>
          <w:b/>
          <w:sz w:val="32"/>
        </w:rPr>
      </w:pPr>
      <w:r>
        <w:rPr>
          <w:rFonts w:hint="eastAsia" w:eastAsia="黑体"/>
          <w:b/>
          <w:sz w:val="32"/>
        </w:rPr>
        <w:t>石油产品针（锥）入度测定仪校准规范</w:t>
      </w:r>
    </w:p>
    <w:p w14:paraId="27B2964E">
      <w:pPr>
        <w:spacing w:before="100" w:beforeAutospacing="1" w:after="100" w:afterAutospacing="1" w:line="360" w:lineRule="auto"/>
        <w:rPr>
          <w:rFonts w:eastAsia="黑体"/>
          <w:b/>
          <w:sz w:val="24"/>
          <w:szCs w:val="20"/>
        </w:rPr>
      </w:pPr>
      <w:r>
        <w:rPr>
          <w:b/>
          <w:sz w:val="24"/>
        </w:rPr>
        <w:t>1</w:t>
      </w:r>
      <w:r>
        <w:rPr>
          <w:rFonts w:eastAsia="黑体"/>
          <w:b/>
          <w:sz w:val="24"/>
          <w:szCs w:val="20"/>
        </w:rPr>
        <w:t xml:space="preserve">  范围</w:t>
      </w:r>
    </w:p>
    <w:p w14:paraId="053A2C9E">
      <w:pPr>
        <w:spacing w:before="100" w:beforeAutospacing="1" w:after="100" w:afterAutospacing="1"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本规范适用于石油蜡针入度测定仪、</w:t>
      </w:r>
      <w:r>
        <w:rPr>
          <w:rFonts w:hint="eastAsia" w:ascii="宋体" w:hAnsi="宋体" w:cs="宋体"/>
          <w:sz w:val="24"/>
        </w:rPr>
        <w:t>润滑脂和石油脂锥入度测定仪</w:t>
      </w:r>
      <w:r>
        <w:rPr>
          <w:rFonts w:hint="eastAsia"/>
          <w:sz w:val="24"/>
        </w:rPr>
        <w:t>的校准，其它具有相同测量原理或功能的仪器可参照本规范执行。</w:t>
      </w:r>
    </w:p>
    <w:p w14:paraId="4192FCCF">
      <w:pPr>
        <w:spacing w:before="100" w:beforeAutospacing="1" w:after="100" w:afterAutospacing="1" w:line="360" w:lineRule="auto"/>
        <w:rPr>
          <w:rFonts w:eastAsia="黑体"/>
          <w:color w:val="000000"/>
          <w:sz w:val="24"/>
          <w:szCs w:val="20"/>
        </w:rPr>
      </w:pPr>
      <w:r>
        <w:rPr>
          <w:b/>
          <w:sz w:val="24"/>
        </w:rPr>
        <w:t>2</w:t>
      </w:r>
      <w:r>
        <w:rPr>
          <w:rFonts w:eastAsia="黑体"/>
          <w:color w:val="000000"/>
          <w:sz w:val="24"/>
          <w:szCs w:val="20"/>
        </w:rPr>
        <w:t xml:space="preserve">  </w:t>
      </w:r>
      <w:r>
        <w:rPr>
          <w:rFonts w:eastAsia="黑体"/>
          <w:b/>
          <w:sz w:val="24"/>
          <w:szCs w:val="20"/>
        </w:rPr>
        <w:t>引用文件</w:t>
      </w:r>
    </w:p>
    <w:p w14:paraId="6E4B3090">
      <w:pPr>
        <w:spacing w:line="44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本规范引用</w:t>
      </w:r>
      <w:r>
        <w:rPr>
          <w:sz w:val="24"/>
        </w:rPr>
        <w:t>了下列文件</w:t>
      </w:r>
      <w:r>
        <w:rPr>
          <w:rFonts w:hint="eastAsia"/>
          <w:sz w:val="24"/>
        </w:rPr>
        <w:t>：</w:t>
      </w:r>
    </w:p>
    <w:p w14:paraId="509F56BF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GB/T 4985《石油蜡针入度测定法》</w:t>
      </w:r>
    </w:p>
    <w:p w14:paraId="639596BC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GB/T 269《润滑脂和石油脂锥入度测定法》</w:t>
      </w:r>
    </w:p>
    <w:p w14:paraId="7A90BBB7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JJF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>1208</w:t>
      </w:r>
      <w:r>
        <w:rPr>
          <w:rFonts w:hint="eastAsia" w:ascii="宋体" w:hAnsi="宋体" w:cs="宋体"/>
          <w:sz w:val="24"/>
        </w:rPr>
        <w:t>《</w:t>
      </w:r>
      <w:r>
        <w:rPr>
          <w:rFonts w:ascii="宋体" w:hAnsi="宋体" w:cs="宋体"/>
          <w:sz w:val="24"/>
        </w:rPr>
        <w:t>沥青针入度仪校准规范</w:t>
      </w:r>
      <w:r>
        <w:rPr>
          <w:rFonts w:hint="eastAsia" w:ascii="宋体" w:hAnsi="宋体" w:cs="宋体"/>
          <w:sz w:val="24"/>
        </w:rPr>
        <w:t>》</w:t>
      </w:r>
    </w:p>
    <w:p w14:paraId="58E30E6C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ascii="宋体" w:hAnsi="宋体" w:cs="宋体"/>
          <w:sz w:val="24"/>
        </w:rPr>
        <w:t>JJF</w:t>
      </w:r>
      <w:r>
        <w:rPr>
          <w:rFonts w:hint="eastAsia" w:ascii="宋体" w:hAnsi="宋体" w:cs="宋体"/>
          <w:sz w:val="24"/>
        </w:rPr>
        <w:t xml:space="preserve"> </w:t>
      </w:r>
      <w:r>
        <w:rPr>
          <w:rFonts w:ascii="宋体" w:hAnsi="宋体" w:cs="宋体"/>
          <w:sz w:val="24"/>
        </w:rPr>
        <w:t>2019</w:t>
      </w:r>
      <w:r>
        <w:rPr>
          <w:rFonts w:hint="eastAsia" w:ascii="宋体" w:hAnsi="宋体" w:cs="宋体"/>
          <w:sz w:val="24"/>
        </w:rPr>
        <w:t>《</w:t>
      </w:r>
      <w:r>
        <w:rPr>
          <w:rFonts w:ascii="宋体" w:hAnsi="宋体" w:cs="宋体"/>
          <w:sz w:val="24"/>
        </w:rPr>
        <w:t>液体恒温试验设备温度性能测试规范</w:t>
      </w:r>
      <w:r>
        <w:rPr>
          <w:rFonts w:hint="eastAsia" w:ascii="宋体" w:hAnsi="宋体" w:cs="宋体"/>
          <w:sz w:val="24"/>
        </w:rPr>
        <w:t>》</w:t>
      </w:r>
    </w:p>
    <w:p w14:paraId="3A08FF6B">
      <w:pPr>
        <w:spacing w:line="440" w:lineRule="exact"/>
        <w:ind w:firstLine="480" w:firstLineChars="200"/>
        <w:rPr>
          <w:rFonts w:ascii="宋体" w:cs="宋体"/>
          <w:color w:val="000000"/>
          <w:kern w:val="0"/>
          <w:sz w:val="24"/>
        </w:rPr>
      </w:pPr>
      <w:r>
        <w:rPr>
          <w:rFonts w:hint="eastAsia" w:ascii="宋体" w:cs="宋体"/>
          <w:color w:val="000000"/>
          <w:kern w:val="0"/>
          <w:sz w:val="24"/>
        </w:rPr>
        <w:t>凡是注日期的引用文件，仅注日期的版本适用于本规范；凡是不注日期的引用文件，其最新版本（包括所有的修改单）适用于</w:t>
      </w:r>
      <w:r>
        <w:rPr>
          <w:rFonts w:ascii="宋体" w:cs="宋体"/>
          <w:color w:val="000000"/>
          <w:kern w:val="0"/>
          <w:sz w:val="24"/>
        </w:rPr>
        <w:t>本规范。</w:t>
      </w:r>
    </w:p>
    <w:p w14:paraId="34509CCB">
      <w:pPr>
        <w:spacing w:before="100" w:beforeAutospacing="1" w:after="100" w:afterAutospacing="1" w:line="360" w:lineRule="auto"/>
        <w:rPr>
          <w:b/>
          <w:sz w:val="24"/>
        </w:rPr>
      </w:pPr>
      <w:r>
        <w:rPr>
          <w:b/>
          <w:sz w:val="24"/>
        </w:rPr>
        <w:t xml:space="preserve">3  </w:t>
      </w:r>
      <w:r>
        <w:rPr>
          <w:rFonts w:hint="eastAsia"/>
          <w:b/>
          <w:sz w:val="24"/>
        </w:rPr>
        <w:t>术语</w:t>
      </w:r>
    </w:p>
    <w:p w14:paraId="26E869AF">
      <w:pPr>
        <w:spacing w:line="360" w:lineRule="auto"/>
        <w:ind w:firstLine="480" w:firstLineChars="200"/>
        <w:rPr>
          <w:rFonts w:hAnsi="宋体"/>
          <w:sz w:val="24"/>
        </w:rPr>
      </w:pPr>
      <w:r>
        <w:rPr>
          <w:rFonts w:hint="eastAsia" w:hAnsi="宋体"/>
          <w:sz w:val="24"/>
        </w:rPr>
        <w:t>石油蜡针入度penetration of petroleum waxes</w:t>
      </w:r>
    </w:p>
    <w:p w14:paraId="19223EED">
      <w:pPr>
        <w:spacing w:line="360" w:lineRule="auto"/>
        <w:ind w:firstLine="480"/>
        <w:rPr>
          <w:rFonts w:hAnsi="宋体"/>
          <w:sz w:val="24"/>
        </w:rPr>
      </w:pPr>
      <w:r>
        <w:rPr>
          <w:rFonts w:hint="eastAsia" w:hAnsi="宋体"/>
          <w:sz w:val="24"/>
        </w:rPr>
        <w:t>在规定的条件下，标准针垂直刺入蜡试样的深度，以1/10mm为单位。</w:t>
      </w:r>
    </w:p>
    <w:p w14:paraId="19AA8F54">
      <w:pPr>
        <w:spacing w:line="360" w:lineRule="auto"/>
        <w:ind w:firstLine="480"/>
        <w:rPr>
          <w:rFonts w:hAnsi="宋体"/>
          <w:sz w:val="24"/>
        </w:rPr>
      </w:pPr>
      <w:r>
        <w:rPr>
          <w:rFonts w:hint="eastAsia" w:ascii="宋体" w:hAnsi="宋体" w:cs="宋体"/>
          <w:sz w:val="24"/>
        </w:rPr>
        <w:t>润滑脂和石油脂</w:t>
      </w:r>
      <w:r>
        <w:rPr>
          <w:rFonts w:hint="eastAsia" w:hAnsi="宋体"/>
          <w:sz w:val="24"/>
        </w:rPr>
        <w:t>锥入度 penetration of lubricating greases and petrolatum</w:t>
      </w:r>
    </w:p>
    <w:p w14:paraId="7D8A4AB1">
      <w:pPr>
        <w:spacing w:line="360" w:lineRule="auto"/>
        <w:ind w:firstLine="480"/>
        <w:rPr>
          <w:rFonts w:hAnsi="宋体"/>
          <w:sz w:val="24"/>
        </w:rPr>
      </w:pPr>
      <w:r>
        <w:rPr>
          <w:rFonts w:hint="eastAsia" w:hAnsi="宋体"/>
          <w:sz w:val="24"/>
        </w:rPr>
        <w:t>在规定的时间、温度和负荷条件下，锥体刺入</w:t>
      </w:r>
      <w:r>
        <w:rPr>
          <w:rFonts w:hint="eastAsia" w:ascii="宋体" w:hAnsi="宋体" w:cs="宋体"/>
          <w:sz w:val="24"/>
        </w:rPr>
        <w:t>润滑脂和石油脂</w:t>
      </w:r>
      <w:r>
        <w:rPr>
          <w:rFonts w:hint="eastAsia" w:hAnsi="宋体"/>
          <w:sz w:val="24"/>
        </w:rPr>
        <w:t>试样的深度。</w:t>
      </w:r>
    </w:p>
    <w:p w14:paraId="06393EA5">
      <w:pPr>
        <w:spacing w:before="100" w:beforeAutospacing="1" w:after="100" w:afterAutospacing="1" w:line="360" w:lineRule="auto"/>
        <w:rPr>
          <w:b/>
          <w:sz w:val="24"/>
        </w:rPr>
      </w:pPr>
      <w:r>
        <w:rPr>
          <w:b/>
          <w:sz w:val="24"/>
        </w:rPr>
        <w:t>4  概述</w:t>
      </w:r>
    </w:p>
    <w:p w14:paraId="2733020C">
      <w:pPr>
        <w:snapToGrid w:val="0"/>
        <w:spacing w:line="360" w:lineRule="auto"/>
        <w:ind w:firstLine="480" w:firstLineChars="200"/>
        <w:rPr>
          <w:rFonts w:hAnsi="宋体"/>
          <w:sz w:val="24"/>
        </w:rPr>
      </w:pPr>
      <w:r>
        <w:rPr>
          <w:rFonts w:hint="eastAsia" w:hAnsi="宋体"/>
          <w:sz w:val="24"/>
        </w:rPr>
        <w:t>石油产品针（锥）入度测定仪</w:t>
      </w:r>
      <w:r>
        <w:rPr>
          <w:rFonts w:hAnsi="宋体"/>
          <w:sz w:val="24"/>
        </w:rPr>
        <w:t>是用于</w:t>
      </w:r>
      <w:r>
        <w:rPr>
          <w:rFonts w:hint="eastAsia" w:hAnsi="宋体"/>
          <w:sz w:val="24"/>
        </w:rPr>
        <w:t>测定固体或半固体原料稠度或硬度的仪器，测定规定重量的针（锥）在重力作用下刺入原料的深度。石油产品针（锥）入度测定仪主要由标准针（锥）、调节测试台、计时装置、水浴等部分组成。其常见结构示意图见图1。</w:t>
      </w:r>
    </w:p>
    <w:p w14:paraId="4FADFEC3">
      <w:pPr>
        <w:snapToGrid w:val="0"/>
        <w:spacing w:line="360" w:lineRule="auto"/>
        <w:ind w:firstLine="480" w:firstLineChars="200"/>
        <w:rPr>
          <w:rFonts w:hAnsi="宋体"/>
          <w:sz w:val="24"/>
        </w:rPr>
      </w:pPr>
    </w:p>
    <w:p w14:paraId="270C2AD1">
      <w:pPr>
        <w:snapToGrid w:val="0"/>
        <w:spacing w:line="360" w:lineRule="auto"/>
        <w:ind w:firstLine="480" w:firstLineChars="200"/>
        <w:jc w:val="center"/>
        <w:rPr>
          <w:rFonts w:hAnsi="宋体"/>
          <w:sz w:val="24"/>
        </w:rPr>
      </w:pPr>
      <w:r>
        <w:rPr>
          <w:rFonts w:hAnsi="宋体"/>
          <w:sz w:val="24"/>
        </w:rPr>
        <w:drawing>
          <wp:inline distT="0" distB="0" distL="0" distR="0">
            <wp:extent cx="2143125" cy="4000500"/>
            <wp:effectExtent l="0" t="0" r="9525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424" cy="4001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AA619D">
      <w:pPr>
        <w:snapToGrid w:val="0"/>
        <w:spacing w:line="360" w:lineRule="auto"/>
        <w:ind w:firstLine="480" w:firstLineChars="200"/>
        <w:jc w:val="center"/>
        <w:rPr>
          <w:rFonts w:asciiTheme="majorEastAsia" w:hAnsiTheme="majorEastAsia" w:eastAsiaTheme="majorEastAsia"/>
          <w:sz w:val="24"/>
        </w:rPr>
      </w:pPr>
      <w:r>
        <w:rPr>
          <w:rFonts w:asciiTheme="majorEastAsia" w:hAnsiTheme="majorEastAsia" w:eastAsiaTheme="majorEastAsia"/>
          <w:sz w:val="24"/>
        </w:rPr>
        <w:t>图1</w:t>
      </w:r>
      <w:r>
        <w:rPr>
          <w:rFonts w:hint="eastAsia" w:asciiTheme="majorEastAsia" w:hAnsiTheme="majorEastAsia" w:eastAsiaTheme="majorEastAsia"/>
          <w:sz w:val="24"/>
        </w:rPr>
        <w:t>石油产品针（锥）入度测定仪常见</w:t>
      </w:r>
      <w:r>
        <w:rPr>
          <w:rFonts w:asciiTheme="majorEastAsia" w:hAnsiTheme="majorEastAsia" w:eastAsiaTheme="majorEastAsia"/>
          <w:sz w:val="24"/>
        </w:rPr>
        <w:t>结构示意图</w:t>
      </w:r>
    </w:p>
    <w:p w14:paraId="3EB62229">
      <w:pPr>
        <w:spacing w:line="440" w:lineRule="exact"/>
        <w:rPr>
          <w:b/>
          <w:sz w:val="24"/>
        </w:rPr>
      </w:pPr>
      <w:r>
        <w:rPr>
          <w:b/>
          <w:sz w:val="24"/>
        </w:rPr>
        <w:t>5  计量特性</w:t>
      </w:r>
    </w:p>
    <w:p w14:paraId="29035F0E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5.1石油蜡针入度测定仪的计量特性</w:t>
      </w:r>
      <w:r>
        <w:rPr>
          <w:sz w:val="24"/>
        </w:rPr>
        <w:t>见表</w:t>
      </w:r>
      <w:r>
        <w:rPr>
          <w:rFonts w:hint="eastAsia"/>
          <w:sz w:val="24"/>
        </w:rPr>
        <w:t>1</w:t>
      </w:r>
    </w:p>
    <w:p w14:paraId="73EEEF02"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表1 石油蜡针入度测定仪</w:t>
      </w:r>
      <w:r>
        <w:rPr>
          <w:sz w:val="24"/>
        </w:rPr>
        <w:t>的计量特性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0"/>
        <w:gridCol w:w="4360"/>
      </w:tblGrid>
      <w:tr w14:paraId="4D7FB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0" w:type="dxa"/>
          </w:tcPr>
          <w:p w14:paraId="71AA823E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校准项目</w:t>
            </w:r>
          </w:p>
        </w:tc>
        <w:tc>
          <w:tcPr>
            <w:tcW w:w="4360" w:type="dxa"/>
          </w:tcPr>
          <w:p w14:paraId="3BE93172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技术要求</w:t>
            </w:r>
          </w:p>
        </w:tc>
      </w:tr>
      <w:tr w14:paraId="0EC2C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0" w:type="dxa"/>
          </w:tcPr>
          <w:p w14:paraId="6DE9EF96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水浴温度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lang w:val="en-US" w:eastAsia="zh-CN"/>
              </w:rPr>
              <w:t>示值误差</w:t>
            </w:r>
          </w:p>
        </w:tc>
        <w:tc>
          <w:tcPr>
            <w:tcW w:w="4360" w:type="dxa"/>
          </w:tcPr>
          <w:p w14:paraId="77C70617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±0.1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℃</w:t>
            </w:r>
          </w:p>
        </w:tc>
      </w:tr>
      <w:tr w14:paraId="45693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0" w:type="dxa"/>
          </w:tcPr>
          <w:p w14:paraId="6CAB9613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计时误差</w:t>
            </w:r>
          </w:p>
        </w:tc>
        <w:tc>
          <w:tcPr>
            <w:tcW w:w="4360" w:type="dxa"/>
          </w:tcPr>
          <w:p w14:paraId="797F671F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±0.1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s</w:t>
            </w:r>
          </w:p>
        </w:tc>
      </w:tr>
      <w:tr w14:paraId="07D2D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0" w:type="dxa"/>
          </w:tcPr>
          <w:p w14:paraId="24FB14BB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针入度示值误差</w:t>
            </w:r>
          </w:p>
        </w:tc>
        <w:tc>
          <w:tcPr>
            <w:tcW w:w="4360" w:type="dxa"/>
          </w:tcPr>
          <w:p w14:paraId="67D59F86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±1针入度</w:t>
            </w:r>
          </w:p>
        </w:tc>
      </w:tr>
      <w:tr w14:paraId="557B1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0" w:type="dxa"/>
          </w:tcPr>
          <w:p w14:paraId="7EC9EA6A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针入度测量重复性</w:t>
            </w:r>
          </w:p>
        </w:tc>
        <w:tc>
          <w:tcPr>
            <w:tcW w:w="4360" w:type="dxa"/>
          </w:tcPr>
          <w:p w14:paraId="5F8322C9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1针入度</w:t>
            </w:r>
          </w:p>
        </w:tc>
      </w:tr>
      <w:tr w14:paraId="6333F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0" w:type="dxa"/>
            <w:gridSpan w:val="2"/>
          </w:tcPr>
          <w:p w14:paraId="4BC84EC7">
            <w:pPr>
              <w:jc w:val="left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注：以上技术指标不用于合格性判定，仅供参考。</w:t>
            </w:r>
          </w:p>
        </w:tc>
      </w:tr>
    </w:tbl>
    <w:p w14:paraId="66D0C28B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5.2润滑脂和石油脂锥入度测定仪的计量特性</w:t>
      </w:r>
      <w:r>
        <w:rPr>
          <w:sz w:val="24"/>
        </w:rPr>
        <w:t>见表</w:t>
      </w:r>
      <w:r>
        <w:rPr>
          <w:rFonts w:hint="eastAsia"/>
          <w:sz w:val="24"/>
        </w:rPr>
        <w:t>2</w:t>
      </w:r>
    </w:p>
    <w:p w14:paraId="0F43DC42"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表2 润滑脂和石油脂锥入度测定仪</w:t>
      </w:r>
      <w:r>
        <w:rPr>
          <w:sz w:val="24"/>
        </w:rPr>
        <w:t>的计量特性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0"/>
        <w:gridCol w:w="4360"/>
      </w:tblGrid>
      <w:tr w14:paraId="26DC9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0" w:type="dxa"/>
          </w:tcPr>
          <w:p w14:paraId="744D23B6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校准项目</w:t>
            </w:r>
          </w:p>
        </w:tc>
        <w:tc>
          <w:tcPr>
            <w:tcW w:w="4360" w:type="dxa"/>
          </w:tcPr>
          <w:p w14:paraId="0DA50661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技术要求</w:t>
            </w:r>
          </w:p>
        </w:tc>
      </w:tr>
      <w:tr w14:paraId="26961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0" w:type="dxa"/>
          </w:tcPr>
          <w:p w14:paraId="1D69D72A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水浴温度</w:t>
            </w: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  <w:lang w:val="en-US" w:eastAsia="zh-CN"/>
              </w:rPr>
              <w:t>示值误差</w:t>
            </w:r>
          </w:p>
        </w:tc>
        <w:tc>
          <w:tcPr>
            <w:tcW w:w="4360" w:type="dxa"/>
          </w:tcPr>
          <w:p w14:paraId="0D3C0A53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±0.5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℃</w:t>
            </w:r>
          </w:p>
        </w:tc>
      </w:tr>
      <w:tr w14:paraId="0D592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0" w:type="dxa"/>
          </w:tcPr>
          <w:p w14:paraId="34CC7531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计时误差</w:t>
            </w:r>
          </w:p>
        </w:tc>
        <w:tc>
          <w:tcPr>
            <w:tcW w:w="4360" w:type="dxa"/>
          </w:tcPr>
          <w:p w14:paraId="271837DE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±0.1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s</w:t>
            </w:r>
          </w:p>
        </w:tc>
      </w:tr>
      <w:tr w14:paraId="3E988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0" w:type="dxa"/>
            <w:shd w:val="clear" w:color="auto" w:fill="auto"/>
          </w:tcPr>
          <w:p w14:paraId="45A932F8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锥入度示值误差</w:t>
            </w:r>
          </w:p>
        </w:tc>
        <w:tc>
          <w:tcPr>
            <w:tcW w:w="4360" w:type="dxa"/>
            <w:shd w:val="clear" w:color="auto" w:fill="auto"/>
          </w:tcPr>
          <w:p w14:paraId="612214B9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±1锥入度</w:t>
            </w:r>
          </w:p>
        </w:tc>
      </w:tr>
      <w:tr w14:paraId="24589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0" w:type="dxa"/>
          </w:tcPr>
          <w:p w14:paraId="14C42F79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锥入度测量重复性</w:t>
            </w:r>
          </w:p>
        </w:tc>
        <w:tc>
          <w:tcPr>
            <w:tcW w:w="4360" w:type="dxa"/>
          </w:tcPr>
          <w:p w14:paraId="1A746FA1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color w:val="000000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kern w:val="0"/>
                <w:sz w:val="24"/>
              </w:rPr>
              <w:t>1锥入度</w:t>
            </w:r>
          </w:p>
        </w:tc>
      </w:tr>
      <w:tr w14:paraId="5B141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20" w:type="dxa"/>
            <w:gridSpan w:val="2"/>
          </w:tcPr>
          <w:p w14:paraId="3B5371F1">
            <w:pPr>
              <w:jc w:val="left"/>
              <w:rPr>
                <w:rFonts w:asciiTheme="majorEastAsia" w:hAnsiTheme="majorEastAsia" w:eastAsiaTheme="majorEastAsia" w:cstheme="majorEastAsia"/>
                <w:color w:val="00000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4"/>
              </w:rPr>
              <w:t>注：以上技术指标不用于合格性判定，仅供参考。</w:t>
            </w:r>
          </w:p>
        </w:tc>
      </w:tr>
    </w:tbl>
    <w:p w14:paraId="50D063A2">
      <w:pPr>
        <w:spacing w:line="440" w:lineRule="exact"/>
        <w:rPr>
          <w:b/>
          <w:sz w:val="24"/>
        </w:rPr>
      </w:pPr>
    </w:p>
    <w:p w14:paraId="2A7E5AEB">
      <w:pPr>
        <w:spacing w:line="440" w:lineRule="exact"/>
        <w:rPr>
          <w:b/>
          <w:sz w:val="24"/>
        </w:rPr>
      </w:pPr>
      <w:r>
        <w:rPr>
          <w:b/>
          <w:sz w:val="24"/>
        </w:rPr>
        <w:t>6  校准条件</w:t>
      </w:r>
      <w:bookmarkStart w:id="0" w:name="_Toc401905485"/>
    </w:p>
    <w:p w14:paraId="613A2F5D">
      <w:pPr>
        <w:spacing w:line="360" w:lineRule="auto"/>
        <w:rPr>
          <w:sz w:val="24"/>
        </w:rPr>
      </w:pPr>
      <w:r>
        <w:rPr>
          <w:sz w:val="24"/>
        </w:rPr>
        <w:t>6.1 环境条件</w:t>
      </w:r>
      <w:bookmarkEnd w:id="0"/>
    </w:p>
    <w:p w14:paraId="0992B0D2">
      <w:pPr>
        <w:spacing w:line="360" w:lineRule="auto"/>
        <w:rPr>
          <w:rFonts w:hAnsi="宋体"/>
          <w:sz w:val="24"/>
        </w:rPr>
      </w:pPr>
      <w:r>
        <w:rPr>
          <w:sz w:val="24"/>
        </w:rPr>
        <w:t xml:space="preserve">6.1.1 </w:t>
      </w:r>
      <w:r>
        <w:rPr>
          <w:rFonts w:hAnsi="宋体"/>
          <w:sz w:val="24"/>
        </w:rPr>
        <w:t>环境温度：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24.0</w:t>
      </w:r>
      <w:r>
        <w:rPr>
          <w:rFonts w:hint="eastAsia" w:ascii="宋体" w:hAnsi="宋体" w:cs="宋体"/>
          <w:color w:val="000000" w:themeColor="text1"/>
          <w:sz w:val="24"/>
          <w:shd w:val="clear" w:color="auto" w:fill="FFFFFF"/>
          <w14:textFill>
            <w14:solidFill>
              <w14:schemeClr w14:val="tx1"/>
            </w14:solidFill>
          </w14:textFill>
        </w:rPr>
        <w:t>±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2.0</w:t>
      </w:r>
      <w:r>
        <w:rPr>
          <w:color w:val="000000" w:themeColor="text1"/>
          <w:sz w:val="24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℃</w:t>
      </w:r>
    </w:p>
    <w:p w14:paraId="4A239C8B">
      <w:pPr>
        <w:spacing w:line="360" w:lineRule="auto"/>
        <w:rPr>
          <w:sz w:val="24"/>
        </w:rPr>
      </w:pPr>
      <w:r>
        <w:rPr>
          <w:sz w:val="24"/>
        </w:rPr>
        <w:t>6.1.</w:t>
      </w:r>
      <w:r>
        <w:rPr>
          <w:rFonts w:hint="eastAsia"/>
          <w:sz w:val="24"/>
        </w:rPr>
        <w:t>2</w:t>
      </w:r>
      <w:r>
        <w:rPr>
          <w:sz w:val="24"/>
        </w:rPr>
        <w:t>相对湿</w:t>
      </w:r>
      <w:r>
        <w:rPr>
          <w:rFonts w:hAnsi="宋体"/>
          <w:sz w:val="24"/>
        </w:rPr>
        <w:t>度：</w:t>
      </w:r>
      <w:bookmarkStart w:id="1" w:name="_Toc401905486"/>
      <w:r>
        <w:rPr>
          <w:rFonts w:hint="eastAsia"/>
          <w:sz w:val="24"/>
        </w:rPr>
        <w:t>≤85</w:t>
      </w:r>
      <w:r>
        <w:rPr>
          <w:sz w:val="24"/>
        </w:rPr>
        <w:t>%</w:t>
      </w:r>
      <w:r>
        <w:rPr>
          <w:rFonts w:hint="eastAsia" w:hAnsi="宋体"/>
          <w:sz w:val="24"/>
        </w:rPr>
        <w:t>。</w:t>
      </w:r>
    </w:p>
    <w:p w14:paraId="7F15DF37">
      <w:pPr>
        <w:spacing w:line="360" w:lineRule="auto"/>
        <w:ind w:left="600" w:hanging="600" w:hangingChars="250"/>
        <w:jc w:val="left"/>
        <w:rPr>
          <w:sz w:val="24"/>
        </w:rPr>
      </w:pPr>
      <w:r>
        <w:rPr>
          <w:sz w:val="24"/>
        </w:rPr>
        <w:t>6.1.</w:t>
      </w:r>
      <w:r>
        <w:rPr>
          <w:rFonts w:hint="eastAsia"/>
          <w:sz w:val="24"/>
        </w:rPr>
        <w:t>3仪器放置于</w:t>
      </w:r>
      <w:r>
        <w:rPr>
          <w:sz w:val="24"/>
        </w:rPr>
        <w:t>平稳</w:t>
      </w:r>
      <w:bookmarkStart w:id="4" w:name="_GoBack"/>
      <w:bookmarkEnd w:id="4"/>
      <w:r>
        <w:rPr>
          <w:rFonts w:hint="eastAsia"/>
          <w:sz w:val="24"/>
        </w:rPr>
        <w:t>无振动</w:t>
      </w:r>
      <w:r>
        <w:rPr>
          <w:sz w:val="24"/>
        </w:rPr>
        <w:t>的</w:t>
      </w:r>
      <w:r>
        <w:rPr>
          <w:rFonts w:hint="eastAsia"/>
          <w:sz w:val="24"/>
        </w:rPr>
        <w:t>工作台上</w:t>
      </w:r>
      <w:r>
        <w:rPr>
          <w:sz w:val="24"/>
        </w:rPr>
        <w:t>，</w:t>
      </w:r>
      <w:r>
        <w:rPr>
          <w:rFonts w:hint="eastAsia"/>
          <w:sz w:val="24"/>
        </w:rPr>
        <w:t>周围无强电磁场</w:t>
      </w:r>
      <w:r>
        <w:rPr>
          <w:sz w:val="24"/>
        </w:rPr>
        <w:t>干扰</w:t>
      </w:r>
      <w:r>
        <w:rPr>
          <w:rFonts w:hint="eastAsia"/>
          <w:sz w:val="24"/>
        </w:rPr>
        <w:t>、</w:t>
      </w:r>
      <w:r>
        <w:rPr>
          <w:sz w:val="24"/>
        </w:rPr>
        <w:t>无腐蚀性气体</w:t>
      </w:r>
      <w:r>
        <w:rPr>
          <w:rFonts w:hint="eastAsia"/>
          <w:sz w:val="24"/>
        </w:rPr>
        <w:t>、无</w:t>
      </w:r>
      <w:r>
        <w:rPr>
          <w:sz w:val="24"/>
        </w:rPr>
        <w:t>阳</w:t>
      </w:r>
      <w:r>
        <w:rPr>
          <w:rFonts w:hint="eastAsia"/>
          <w:sz w:val="24"/>
        </w:rPr>
        <w:t>光</w:t>
      </w:r>
    </w:p>
    <w:p w14:paraId="36CF029B">
      <w:pPr>
        <w:spacing w:line="360" w:lineRule="auto"/>
        <w:ind w:left="600" w:hanging="600" w:hangingChars="250"/>
        <w:jc w:val="left"/>
        <w:rPr>
          <w:sz w:val="24"/>
        </w:rPr>
      </w:pPr>
      <w:r>
        <w:rPr>
          <w:sz w:val="24"/>
        </w:rPr>
        <w:t>直射</w:t>
      </w:r>
      <w:r>
        <w:rPr>
          <w:rFonts w:hint="eastAsia"/>
          <w:sz w:val="24"/>
        </w:rPr>
        <w:t>，</w:t>
      </w:r>
      <w:r>
        <w:rPr>
          <w:sz w:val="24"/>
        </w:rPr>
        <w:t>避免温度急剧变化</w:t>
      </w:r>
      <w:r>
        <w:rPr>
          <w:rFonts w:hint="eastAsia"/>
          <w:sz w:val="24"/>
        </w:rPr>
        <w:t>，</w:t>
      </w:r>
      <w:r>
        <w:rPr>
          <w:rFonts w:ascii="宋体"/>
          <w:color w:val="000000"/>
          <w:sz w:val="24"/>
        </w:rPr>
        <w:t>接地良好。</w:t>
      </w:r>
    </w:p>
    <w:p w14:paraId="3D32BD3B">
      <w:pPr>
        <w:spacing w:line="360" w:lineRule="auto"/>
        <w:rPr>
          <w:sz w:val="24"/>
        </w:rPr>
      </w:pPr>
      <w:r>
        <w:rPr>
          <w:sz w:val="24"/>
        </w:rPr>
        <w:t xml:space="preserve">6.2 </w:t>
      </w:r>
      <w:bookmarkEnd w:id="1"/>
      <w:r>
        <w:rPr>
          <w:rFonts w:hint="eastAsia"/>
          <w:sz w:val="24"/>
        </w:rPr>
        <w:t>测量标准及其他设备</w:t>
      </w:r>
    </w:p>
    <w:p w14:paraId="1E19022E">
      <w:pPr>
        <w:spacing w:line="360" w:lineRule="auto"/>
        <w:rPr>
          <w:sz w:val="24"/>
        </w:rPr>
      </w:pPr>
      <w:r>
        <w:rPr>
          <w:sz w:val="24"/>
        </w:rPr>
        <w:t>6.2.1</w:t>
      </w:r>
      <w:r>
        <w:rPr>
          <w:rFonts w:hint="eastAsia"/>
          <w:sz w:val="24"/>
        </w:rPr>
        <w:t xml:space="preserve"> 有证标准物质，</w:t>
      </w:r>
    </w:p>
    <w:p w14:paraId="20F919AB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根据实际需要，选用由国家计量行政部门批准的针入度和锥入度有证标准物质。</w:t>
      </w:r>
    </w:p>
    <w:p w14:paraId="558EBCE2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石油蜡针入度测定用标准物质，扩展不确定度不大于0.3针入度（</w:t>
      </w:r>
      <w:r>
        <w:rPr>
          <w:rFonts w:hint="eastAsia"/>
          <w:i/>
          <w:iCs/>
          <w:sz w:val="24"/>
        </w:rPr>
        <w:t>k</w:t>
      </w:r>
      <w:r>
        <w:rPr>
          <w:rFonts w:hint="eastAsia"/>
          <w:sz w:val="24"/>
        </w:rPr>
        <w:t>=2），润滑脂和石油脂锥入度测定用标准物质，扩展不确定度不大于0.3针入度（</w:t>
      </w:r>
      <w:r>
        <w:rPr>
          <w:rFonts w:hint="eastAsia"/>
          <w:i/>
          <w:iCs/>
          <w:sz w:val="24"/>
        </w:rPr>
        <w:t>k</w:t>
      </w:r>
      <w:r>
        <w:rPr>
          <w:rFonts w:hint="eastAsia"/>
          <w:sz w:val="24"/>
        </w:rPr>
        <w:t>=2）。</w:t>
      </w:r>
      <w:r>
        <w:rPr>
          <w:sz w:val="24"/>
        </w:rPr>
        <w:t xml:space="preserve"> </w:t>
      </w:r>
    </w:p>
    <w:p w14:paraId="7362A58F">
      <w:pPr>
        <w:spacing w:line="360" w:lineRule="auto"/>
        <w:ind w:right="11" w:hanging="1"/>
        <w:rPr>
          <w:rFonts w:ascii="宋体" w:hAnsi="宋体"/>
          <w:sz w:val="24"/>
          <w:highlight w:val="yellow"/>
        </w:rPr>
      </w:pPr>
      <w:r>
        <w:rPr>
          <w:sz w:val="24"/>
        </w:rPr>
        <w:t xml:space="preserve">6.2.2 </w:t>
      </w:r>
      <w:r>
        <w:rPr>
          <w:rFonts w:hint="eastAsia"/>
          <w:sz w:val="24"/>
        </w:rPr>
        <w:t>数字温度计：最大允许误差不大于</w:t>
      </w:r>
      <w:r>
        <w:rPr>
          <w:rFonts w:hint="eastAsia" w:ascii="宋体" w:hAnsi="宋体" w:cs="宋体"/>
          <w:color w:val="333333"/>
          <w:szCs w:val="21"/>
          <w:shd w:val="clear" w:color="auto" w:fill="FFFFFF"/>
        </w:rPr>
        <w:t>±</w:t>
      </w:r>
      <w:r>
        <w:rPr>
          <w:rFonts w:hint="eastAsia"/>
          <w:sz w:val="24"/>
        </w:rPr>
        <w:t>0.03℃。</w:t>
      </w:r>
    </w:p>
    <w:p w14:paraId="03A25742">
      <w:pPr>
        <w:spacing w:line="360" w:lineRule="auto"/>
        <w:ind w:left="480" w:right="11" w:hanging="480" w:hangingChars="200"/>
        <w:rPr>
          <w:rFonts w:ascii="宋体" w:cs="宋体"/>
          <w:color w:val="000000"/>
          <w:kern w:val="0"/>
          <w:sz w:val="24"/>
        </w:rPr>
      </w:pPr>
      <w:r>
        <w:rPr>
          <w:sz w:val="24"/>
        </w:rPr>
        <w:t>6.2.</w:t>
      </w:r>
      <w:r>
        <w:rPr>
          <w:rFonts w:hint="eastAsia"/>
          <w:sz w:val="24"/>
        </w:rPr>
        <w:t>3 时间检定仪：最大允许误差不大于</w:t>
      </w:r>
      <m:oMath>
        <m:r>
          <m:rPr>
            <m:sty m:val="p"/>
          </m:rPr>
          <w:rPr>
            <w:rFonts w:ascii="Cambria Math" w:hAnsi="Cambria Math"/>
            <w:color w:val="020103"/>
            <w:sz w:val="24"/>
          </w:rPr>
          <m:t>±</m:t>
        </m:r>
        <m:r>
          <m:rPr>
            <m:sty m:val="p"/>
          </m:rPr>
          <w:rPr>
            <w:rFonts w:hint="eastAsia" w:ascii="Cambria Math" w:hAnsi="Cambria Math"/>
            <w:color w:val="020103"/>
            <w:sz w:val="24"/>
          </w:rPr>
          <m:t>（</m:t>
        </m:r>
        <m:d>
          <m:dPr>
            <m:begChr m:val="|"/>
            <m:endChr m:val="|"/>
            <m:ctrlPr>
              <w:rPr>
                <w:rFonts w:ascii="Cambria Math" w:hAnsi="Cambria Math"/>
                <w:i/>
                <w:color w:val="020103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20103"/>
                    <w:sz w:val="24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color w:val="020103"/>
                    <w:sz w:val="24"/>
                  </w:rPr>
                  <m:t>A</m:t>
                </m:r>
                <m:ctrlPr>
                  <w:rPr>
                    <w:rFonts w:ascii="Cambria Math" w:hAnsi="Cambria Math"/>
                    <w:i/>
                    <w:color w:val="020103"/>
                    <w:sz w:val="24"/>
                  </w:rPr>
                </m:ctrlPr>
              </m:e>
              <m:sub>
                <m:r>
                  <m:rPr/>
                  <w:rPr>
                    <w:rFonts w:ascii="Cambria Math" w:hAnsi="Cambria Math"/>
                    <w:color w:val="020103"/>
                    <w:sz w:val="24"/>
                  </w:rPr>
                  <m:t>1</m:t>
                </m:r>
                <m:ctrlPr>
                  <w:rPr>
                    <w:rFonts w:ascii="Cambria Math" w:hAnsi="Cambria Math"/>
                    <w:i/>
                    <w:color w:val="020103"/>
                    <w:sz w:val="24"/>
                  </w:rPr>
                </m:ctrlPr>
              </m:sub>
            </m:sSub>
            <m:ctrlPr>
              <w:rPr>
                <w:rFonts w:ascii="Cambria Math" w:hAnsi="Cambria Math"/>
                <w:i/>
                <w:color w:val="020103"/>
                <w:sz w:val="24"/>
              </w:rPr>
            </m:ctrlPr>
          </m:e>
        </m:d>
        <m:r>
          <m:rPr/>
          <w:rPr>
            <w:rFonts w:ascii="Cambria Math" w:hAnsi="Cambria Math" w:cs="Cambria Math"/>
            <w:color w:val="020103"/>
            <w:sz w:val="24"/>
          </w:rPr>
          <m:t>×t+3</m:t>
        </m:r>
        <m:r>
          <m:rPr>
            <m:sty m:val="p"/>
          </m:rPr>
          <w:rPr>
            <w:rFonts w:ascii="Cambria Math" w:hAnsi="Cambria Math" w:cs="Cambria Math"/>
            <w:color w:val="020103"/>
            <w:sz w:val="24"/>
          </w:rPr>
          <m:t>ms</m:t>
        </m:r>
        <m:r>
          <m:rPr>
            <m:sty m:val="p"/>
          </m:rPr>
          <w:rPr>
            <w:rFonts w:hint="eastAsia" w:ascii="Cambria Math" w:hAnsi="Cambria Math"/>
            <w:color w:val="020103"/>
            <w:sz w:val="24"/>
          </w:rPr>
          <m:t>）</m:t>
        </m:r>
      </m:oMath>
      <w:r>
        <w:rPr>
          <w:rFonts w:hint="eastAsia"/>
          <w:color w:val="020103"/>
          <w:sz w:val="24"/>
        </w:rPr>
        <w:t>。</w:t>
      </w:r>
    </w:p>
    <w:p w14:paraId="2E745611">
      <w:pPr>
        <w:spacing w:line="440" w:lineRule="exact"/>
        <w:rPr>
          <w:b/>
          <w:sz w:val="24"/>
        </w:rPr>
      </w:pPr>
      <w:r>
        <w:rPr>
          <w:b/>
          <w:sz w:val="24"/>
        </w:rPr>
        <w:t>7  校准项目和校准方法</w:t>
      </w:r>
      <w:bookmarkStart w:id="2" w:name="_Toc401905488"/>
    </w:p>
    <w:p w14:paraId="7B329FBA">
      <w:pPr>
        <w:spacing w:line="440" w:lineRule="exact"/>
        <w:rPr>
          <w:sz w:val="24"/>
        </w:rPr>
      </w:pPr>
      <w:r>
        <w:rPr>
          <w:rFonts w:hint="eastAsia"/>
          <w:sz w:val="24"/>
        </w:rPr>
        <w:t>7</w:t>
      </w:r>
      <w:r>
        <w:rPr>
          <w:sz w:val="24"/>
        </w:rPr>
        <w:t>.1 校准前</w:t>
      </w:r>
      <w:r>
        <w:rPr>
          <w:rFonts w:hint="eastAsia"/>
          <w:sz w:val="24"/>
        </w:rPr>
        <w:t>检查</w:t>
      </w:r>
    </w:p>
    <w:p w14:paraId="19A7375C">
      <w:pPr>
        <w:spacing w:line="44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仪器应具有名称、型号、制造厂、出厂编号等标识。</w:t>
      </w:r>
    </w:p>
    <w:p w14:paraId="29DC1C16">
      <w:pPr>
        <w:spacing w:line="44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仪器各部件齐全且连接良好，各旋钮及按键应能正常工作，无影响使用性能的缺陷。</w:t>
      </w:r>
    </w:p>
    <w:p w14:paraId="0C4F2988">
      <w:pPr>
        <w:pStyle w:val="4"/>
        <w:spacing w:line="360" w:lineRule="auto"/>
        <w:jc w:val="both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</w:rPr>
        <w:t>7.2 水浴温度</w:t>
      </w:r>
      <w:r>
        <w:rPr>
          <w:rFonts w:hint="eastAsia"/>
          <w:sz w:val="24"/>
          <w:lang w:val="en-US" w:eastAsia="zh-CN"/>
        </w:rPr>
        <w:t>示值误差</w:t>
      </w:r>
    </w:p>
    <w:p w14:paraId="6BF4FF70">
      <w:pPr>
        <w:spacing w:line="360" w:lineRule="auto"/>
        <w:rPr>
          <w:rFonts w:ascii="宋体" w:hAnsi="宋体"/>
          <w:sz w:val="24"/>
        </w:rPr>
      </w:pPr>
      <w:r>
        <w:rPr>
          <w:rFonts w:hint="eastAsia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 将石油蜡针入度测定仪控制温度设定在测试温度（通常为25</w:t>
      </w:r>
      <w:r>
        <w:rPr>
          <w:rFonts w:hint="eastAsia" w:asciiTheme="majorEastAsia" w:hAnsiTheme="majorEastAsia" w:eastAsiaTheme="majorEastAsia" w:cstheme="majorEastAsia"/>
          <w:sz w:val="24"/>
        </w:rPr>
        <w:t>℃、35℃、40℃、45℃或55℃</w:t>
      </w:r>
      <w:r>
        <w:rPr>
          <w:rFonts w:hint="eastAsia" w:ascii="宋体" w:hAnsi="宋体"/>
          <w:sz w:val="24"/>
        </w:rPr>
        <w:t>），待其达到设定温度并处于稳定状态后开始记录各测量点温度，在水浴的四角和中间5个点测水温，根据公式（1）和（2）</w:t>
      </w:r>
      <w:r>
        <w:rPr>
          <w:rFonts w:hint="eastAsia" w:ascii="宋体" w:hAnsi="宋体" w:cs="宋体"/>
          <w:sz w:val="24"/>
        </w:rPr>
        <w:t>计算</w:t>
      </w:r>
      <w:r>
        <w:rPr>
          <w:rFonts w:hint="eastAsia" w:ascii="宋体" w:hAnsi="宋体"/>
          <w:sz w:val="24"/>
        </w:rPr>
        <w:t>5个点测量值与设定值的差为温度偏差。</w:t>
      </w:r>
    </w:p>
    <w:p w14:paraId="0A967428">
      <w:pPr>
        <w:spacing w:line="360" w:lineRule="auto"/>
        <w:jc w:val="center"/>
        <w:rPr>
          <w:rFonts w:hAnsi="Cambria Math"/>
          <w:sz w:val="24"/>
        </w:rPr>
      </w:pPr>
      <w:r>
        <w:rPr>
          <w:rFonts w:hint="eastAsia" w:hAnsi="Cambria Math"/>
          <w:sz w:val="24"/>
        </w:rPr>
        <w:t xml:space="preserve">                          </w:t>
      </w:r>
      <m:oMath>
        <m:r>
          <m:rPr>
            <m:sty m:val="p"/>
          </m:rPr>
          <w:rPr>
            <w:rFonts w:ascii="Cambria Math" w:hAnsi="Cambria Math"/>
            <w:sz w:val="24"/>
          </w:rPr>
          <m:t>∆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t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max</m:t>
            </m:r>
            <m:ctrlPr>
              <w:rPr>
                <w:rFonts w:ascii="Cambria Math" w:hAnsi="Cambria Math"/>
                <w:sz w:val="24"/>
              </w:rPr>
            </m:ctrlPr>
          </m:sub>
        </m:sSub>
        <m:r>
          <m:rPr>
            <m:sty m:val="p"/>
          </m:rPr>
          <w:rPr>
            <w:rFonts w:ascii="Cambria Math" w:hAnsi="Cambria Math"/>
            <w:sz w:val="24"/>
          </w:rPr>
          <m:t>=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t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max</m:t>
            </m:r>
            <m:ctrlPr>
              <w:rPr>
                <w:rFonts w:ascii="Cambria Math" w:hAnsi="Cambria Math"/>
                <w:sz w:val="24"/>
              </w:rPr>
            </m:ctrlPr>
          </m:sub>
        </m:sSub>
        <m:r>
          <m:rPr>
            <m:sty m:val="p"/>
          </m:rPr>
          <w:rPr>
            <w:rFonts w:ascii="Cambria Math" w:hAnsi="Cambria Math"/>
            <w:sz w:val="24"/>
          </w:rPr>
          <m:t>−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t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s</m:t>
            </m:r>
            <m:ctrlPr>
              <w:rPr>
                <w:rFonts w:ascii="Cambria Math" w:hAnsi="Cambria Math"/>
                <w:sz w:val="24"/>
              </w:rPr>
            </m:ctrlPr>
          </m:sub>
        </m:sSub>
      </m:oMath>
      <w:r>
        <w:rPr>
          <w:rFonts w:hint="eastAsia" w:hAnsi="Cambria Math"/>
          <w:sz w:val="24"/>
        </w:rPr>
        <w:t xml:space="preserve">                           （1）</w:t>
      </w:r>
    </w:p>
    <w:p w14:paraId="6FADB205">
      <w:pPr>
        <w:spacing w:line="360" w:lineRule="auto"/>
        <w:jc w:val="center"/>
        <w:rPr>
          <w:rFonts w:hAnsi="Cambria Math"/>
          <w:sz w:val="24"/>
        </w:rPr>
      </w:pPr>
      <w:r>
        <w:rPr>
          <w:rFonts w:hint="eastAsia" w:hAnsi="Cambria Math"/>
          <w:sz w:val="24"/>
        </w:rPr>
        <w:t xml:space="preserve">                          </w:t>
      </w:r>
      <m:oMath>
        <m:r>
          <m:rPr>
            <m:sty m:val="p"/>
          </m:rPr>
          <w:rPr>
            <w:rFonts w:ascii="Cambria Math" w:hAnsi="Cambria Math"/>
            <w:sz w:val="24"/>
          </w:rPr>
          <m:t>∆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t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min</m:t>
            </m:r>
            <m:ctrlPr>
              <w:rPr>
                <w:rFonts w:ascii="Cambria Math" w:hAnsi="Cambria Math"/>
                <w:sz w:val="24"/>
              </w:rPr>
            </m:ctrlPr>
          </m:sub>
        </m:sSub>
        <m:r>
          <m:rPr>
            <m:sty m:val="p"/>
          </m:rPr>
          <w:rPr>
            <w:rFonts w:ascii="Cambria Math" w:hAnsi="Cambria Math"/>
            <w:sz w:val="24"/>
          </w:rPr>
          <m:t>=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t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min</m:t>
            </m:r>
            <m:ctrlPr>
              <w:rPr>
                <w:rFonts w:ascii="Cambria Math" w:hAnsi="Cambria Math"/>
                <w:sz w:val="24"/>
              </w:rPr>
            </m:ctrlPr>
          </m:sub>
        </m:sSub>
        <m:r>
          <m:rPr>
            <m:sty m:val="p"/>
          </m:rPr>
          <w:rPr>
            <w:rFonts w:ascii="Cambria Math" w:hAnsi="Cambria Math"/>
            <w:sz w:val="24"/>
          </w:rPr>
          <m:t>−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</w:rPr>
              <m:t>t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s</m:t>
            </m:r>
            <m:ctrlPr>
              <w:rPr>
                <w:rFonts w:ascii="Cambria Math" w:hAnsi="Cambria Math"/>
                <w:sz w:val="24"/>
              </w:rPr>
            </m:ctrlPr>
          </m:sub>
        </m:sSub>
      </m:oMath>
      <w:r>
        <w:rPr>
          <w:rFonts w:hint="eastAsia" w:hAnsi="Cambria Math"/>
          <w:sz w:val="24"/>
        </w:rPr>
        <w:t xml:space="preserve">                            （2）</w:t>
      </w:r>
    </w:p>
    <w:p w14:paraId="18F46A0E">
      <w:pPr>
        <w:spacing w:line="360" w:lineRule="auto"/>
        <w:rPr>
          <w:rFonts w:hAnsi="Cambria Math"/>
          <w:sz w:val="24"/>
        </w:rPr>
      </w:pPr>
      <w:r>
        <w:rPr>
          <w:rFonts w:hint="eastAsia" w:hAnsi="Cambria Math"/>
          <w:sz w:val="24"/>
        </w:rPr>
        <w:t>式中：</w:t>
      </w:r>
    </w:p>
    <w:p w14:paraId="1F211B68">
      <w:pPr>
        <w:spacing w:line="360" w:lineRule="auto"/>
        <w:ind w:firstLine="480" w:firstLineChars="200"/>
        <w:rPr>
          <w:rFonts w:asciiTheme="majorEastAsia" w:hAnsiTheme="majorEastAsia" w:eastAsiaTheme="majorEastAsia" w:cstheme="majorEastAsia"/>
          <w:sz w:val="24"/>
        </w:rPr>
      </w:pPr>
      <m:oMath>
        <m:r>
          <m:rPr>
            <m:sty m:val="p"/>
          </m:rPr>
          <w:rPr>
            <w:rFonts w:ascii="Cambria Math" w:hAnsi="Cambria Math"/>
            <w:sz w:val="24"/>
          </w:rPr>
          <m:t>∆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t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max</m:t>
            </m:r>
            <m:ctrlPr>
              <w:rPr>
                <w:rFonts w:ascii="Cambria Math" w:hAnsi="Cambria Math"/>
                <w:sz w:val="24"/>
              </w:rPr>
            </m:ctrlPr>
          </m:sub>
        </m:sSub>
      </m:oMath>
      <w:r>
        <w:rPr>
          <w:rFonts w:hint="eastAsia" w:hAnsi="Cambria Math"/>
          <w:sz w:val="24"/>
        </w:rPr>
        <w:t>——测定仪的温度上偏差，</w:t>
      </w:r>
      <w:r>
        <w:rPr>
          <w:rFonts w:hint="eastAsia" w:asciiTheme="majorEastAsia" w:hAnsiTheme="majorEastAsia" w:eastAsiaTheme="majorEastAsia" w:cstheme="majorEastAsia"/>
          <w:sz w:val="24"/>
        </w:rPr>
        <w:t>℃；</w:t>
      </w:r>
    </w:p>
    <w:p w14:paraId="4597A24A">
      <w:pPr>
        <w:spacing w:line="360" w:lineRule="auto"/>
        <w:ind w:firstLine="480" w:firstLineChars="200"/>
        <w:rPr>
          <w:rFonts w:asciiTheme="majorEastAsia" w:hAnsiTheme="majorEastAsia" w:eastAsiaTheme="majorEastAsia" w:cstheme="majorEastAsia"/>
          <w:sz w:val="24"/>
        </w:rPr>
      </w:pPr>
      <m:oMath>
        <m:r>
          <m:rPr>
            <m:sty m:val="p"/>
          </m:rPr>
          <w:rPr>
            <w:rFonts w:ascii="Cambria Math" w:hAnsi="Cambria Math"/>
            <w:sz w:val="24"/>
          </w:rPr>
          <m:t>∆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t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min</m:t>
            </m:r>
            <m:ctrlPr>
              <w:rPr>
                <w:rFonts w:ascii="Cambria Math" w:hAnsi="Cambria Math"/>
                <w:sz w:val="24"/>
              </w:rPr>
            </m:ctrlPr>
          </m:sub>
        </m:sSub>
      </m:oMath>
      <w:r>
        <w:rPr>
          <w:rFonts w:hint="eastAsia" w:hAnsi="Cambria Math"/>
          <w:sz w:val="24"/>
        </w:rPr>
        <w:t>——测定仪的温度下偏差，</w:t>
      </w:r>
      <w:r>
        <w:rPr>
          <w:rFonts w:hint="eastAsia" w:asciiTheme="majorEastAsia" w:hAnsiTheme="majorEastAsia" w:eastAsiaTheme="majorEastAsia" w:cstheme="majorEastAsia"/>
          <w:sz w:val="24"/>
        </w:rPr>
        <w:t>℃；</w:t>
      </w:r>
    </w:p>
    <w:p w14:paraId="1CE570F2">
      <w:pPr>
        <w:spacing w:line="360" w:lineRule="auto"/>
        <w:ind w:firstLine="480" w:firstLineChars="200"/>
        <w:rPr>
          <w:rFonts w:asciiTheme="majorEastAsia" w:hAnsiTheme="majorEastAsia" w:eastAsiaTheme="majorEastAsia" w:cstheme="majorEastAsia"/>
          <w:sz w:val="24"/>
        </w:rPr>
      </w:pP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t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max</m:t>
            </m:r>
            <m:ctrlPr>
              <w:rPr>
                <w:rFonts w:ascii="Cambria Math" w:hAnsi="Cambria Math"/>
                <w:sz w:val="24"/>
              </w:rPr>
            </m:ctrlPr>
          </m:sub>
        </m:sSub>
      </m:oMath>
      <w:r>
        <w:rPr>
          <w:rFonts w:hint="eastAsia" w:hAnsi="Cambria Math"/>
          <w:sz w:val="24"/>
        </w:rPr>
        <w:t xml:space="preserve"> ——各测量点在规定时间内测得的最高温度，</w:t>
      </w:r>
      <w:r>
        <w:rPr>
          <w:rFonts w:hint="eastAsia" w:asciiTheme="majorEastAsia" w:hAnsiTheme="majorEastAsia" w:eastAsiaTheme="majorEastAsia" w:cstheme="majorEastAsia"/>
          <w:sz w:val="24"/>
        </w:rPr>
        <w:t>℃；</w:t>
      </w:r>
    </w:p>
    <w:p w14:paraId="16BE1170">
      <w:pPr>
        <w:spacing w:line="360" w:lineRule="auto"/>
        <w:ind w:firstLine="480" w:firstLineChars="200"/>
        <w:rPr>
          <w:rFonts w:asciiTheme="majorEastAsia" w:hAnsiTheme="majorEastAsia" w:eastAsiaTheme="majorEastAsia" w:cstheme="majorEastAsia"/>
          <w:sz w:val="24"/>
        </w:rPr>
      </w:pP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t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min</m:t>
            </m:r>
            <m:ctrlPr>
              <w:rPr>
                <w:rFonts w:ascii="Cambria Math" w:hAnsi="Cambria Math"/>
                <w:sz w:val="24"/>
              </w:rPr>
            </m:ctrlPr>
          </m:sub>
        </m:sSub>
      </m:oMath>
      <w:r>
        <w:rPr>
          <w:rFonts w:hint="eastAsia" w:hAnsi="Cambria Math"/>
          <w:sz w:val="24"/>
        </w:rPr>
        <w:t xml:space="preserve"> ——各测量点在规定时间内测得的最低温度，</w:t>
      </w:r>
      <w:r>
        <w:rPr>
          <w:rFonts w:hint="eastAsia" w:asciiTheme="majorEastAsia" w:hAnsiTheme="majorEastAsia" w:eastAsiaTheme="majorEastAsia" w:cstheme="majorEastAsia"/>
          <w:sz w:val="24"/>
        </w:rPr>
        <w:t>℃；</w:t>
      </w:r>
    </w:p>
    <w:p w14:paraId="78F85AF8">
      <w:pPr>
        <w:spacing w:line="360" w:lineRule="auto"/>
        <w:ind w:firstLine="480" w:firstLineChars="200"/>
        <w:rPr>
          <w:rFonts w:asciiTheme="majorEastAsia" w:hAnsiTheme="majorEastAsia" w:eastAsiaTheme="majorEastAsia" w:cstheme="majorEastAsia"/>
          <w:sz w:val="24"/>
        </w:rPr>
      </w:pP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t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s</m:t>
            </m:r>
            <m:ctrlPr>
              <w:rPr>
                <w:rFonts w:ascii="Cambria Math" w:hAnsi="Cambria Math"/>
                <w:sz w:val="24"/>
              </w:rPr>
            </m:ctrlPr>
          </m:sub>
        </m:sSub>
      </m:oMath>
      <w:r>
        <w:rPr>
          <w:rFonts w:hint="eastAsia" w:hAnsi="Cambria Math"/>
          <w:sz w:val="24"/>
        </w:rPr>
        <w:t xml:space="preserve">   ——测定仪的设定温度，</w:t>
      </w:r>
      <w:r>
        <w:rPr>
          <w:rFonts w:hint="eastAsia" w:asciiTheme="majorEastAsia" w:hAnsiTheme="majorEastAsia" w:eastAsiaTheme="majorEastAsia" w:cstheme="majorEastAsia"/>
          <w:sz w:val="24"/>
        </w:rPr>
        <w:t>℃。</w:t>
      </w:r>
    </w:p>
    <w:p w14:paraId="1AD2E1FC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 xml:space="preserve">7.3 计时误差  </w:t>
      </w:r>
    </w:p>
    <w:p w14:paraId="57E3DB7B">
      <w:pPr>
        <w:spacing w:line="360" w:lineRule="auto"/>
        <w:ind w:firstLine="480"/>
        <w:jc w:val="left"/>
        <w:rPr>
          <w:sz w:val="24"/>
        </w:rPr>
      </w:pPr>
      <w:r>
        <w:rPr>
          <w:rFonts w:hint="eastAsia"/>
          <w:sz w:val="24"/>
        </w:rPr>
        <w:t>使用时间检定仪通过专用夹具与被校准测定仪的计时装置按钮连接，调整夹具上的撞击头与被校准测定仪启动（停止）按钮的间距。使被校准测定仪的计时装置正常启停，校准点通常选择5s，同时启动被校准测定仪和时间检定仪，记录时间检定仪的示值，以上过程重复三次，按公式（3）计算计时误差。</w:t>
      </w:r>
    </w:p>
    <w:p w14:paraId="4D610DB5">
      <w:pPr>
        <w:spacing w:line="360" w:lineRule="auto"/>
        <w:ind w:firstLine="480"/>
        <w:jc w:val="center"/>
        <w:rPr>
          <w:sz w:val="24"/>
        </w:rPr>
      </w:pPr>
      <w:r>
        <w:rPr>
          <w:rFonts w:hint="eastAsia" w:hAnsi="Cambria Math"/>
          <w:sz w:val="24"/>
        </w:rPr>
        <w:t xml:space="preserve">                        </w:t>
      </w:r>
      <m:oMath>
        <m:r>
          <m:rPr>
            <m:sty m:val="p"/>
          </m:rPr>
          <w:rPr>
            <w:rFonts w:ascii="Cambria Math" w:hAnsi="Cambria Math"/>
            <w:sz w:val="24"/>
          </w:rPr>
          <m:t>∆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T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i</m:t>
            </m:r>
            <m:ctrlPr>
              <w:rPr>
                <w:rFonts w:ascii="Cambria Math" w:hAnsi="Cambria Math"/>
                <w:sz w:val="24"/>
              </w:rPr>
            </m:ctrlPr>
          </m:sub>
        </m:sSub>
        <m:r>
          <m:rPr>
            <m:sty m:val="p"/>
          </m:rPr>
          <w:rPr>
            <w:rFonts w:ascii="Cambria Math" w:hAnsi="Cambria Math"/>
            <w:sz w:val="24"/>
          </w:rPr>
          <m:t>=</m:t>
        </m:r>
        <m:acc>
          <m:accPr>
            <m:chr m:val="̅"/>
            <m:ctrlPr>
              <w:rPr>
                <w:rFonts w:ascii="Cambria Math" w:hAnsi="Cambria Math"/>
                <w:sz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4"/>
                  </w:rPr>
                  <m:t>T</m:t>
                </m:r>
                <m:ctrlPr>
                  <w:rPr>
                    <w:rFonts w:ascii="Cambria Math" w:hAnsi="Cambria Math"/>
                    <w:sz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/>
                    <w:sz w:val="24"/>
                  </w:rPr>
                  <m:t>i</m:t>
                </m:r>
                <m:ctrlPr>
                  <w:rPr>
                    <w:rFonts w:ascii="Cambria Math" w:hAnsi="Cambria Math"/>
                    <w:sz w:val="24"/>
                  </w:rPr>
                </m:ctrlPr>
              </m:sub>
            </m:sSub>
            <m:ctrlPr>
              <w:rPr>
                <w:rFonts w:ascii="Cambria Math" w:hAnsi="Cambria Math"/>
                <w:sz w:val="24"/>
              </w:rPr>
            </m:ctrlPr>
          </m:e>
        </m:acc>
        <m:r>
          <m:rPr>
            <m:sty m:val="p"/>
          </m:rPr>
          <w:rPr>
            <w:rFonts w:ascii="Cambria Math" w:hAnsi="Cambria Math"/>
            <w:sz w:val="24"/>
          </w:rPr>
          <m:t>−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T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0</m:t>
            </m:r>
            <m:ctrlPr>
              <w:rPr>
                <w:rFonts w:ascii="Cambria Math" w:hAnsi="Cambria Math"/>
                <w:sz w:val="24"/>
              </w:rPr>
            </m:ctrlPr>
          </m:sub>
        </m:sSub>
      </m:oMath>
      <w:r>
        <w:rPr>
          <w:rFonts w:hint="eastAsia" w:hAnsi="Cambria Math"/>
          <w:sz w:val="24"/>
        </w:rPr>
        <w:t xml:space="preserve">                                （3）</w:t>
      </w:r>
    </w:p>
    <w:p w14:paraId="5F050575">
      <w:pPr>
        <w:spacing w:line="360" w:lineRule="auto"/>
        <w:ind w:firstLine="480"/>
        <w:jc w:val="left"/>
        <w:rPr>
          <w:sz w:val="24"/>
        </w:rPr>
      </w:pPr>
      <w:r>
        <w:rPr>
          <w:rFonts w:hint="eastAsia"/>
          <w:sz w:val="24"/>
        </w:rPr>
        <w:t>式中：</w:t>
      </w:r>
    </w:p>
    <w:p w14:paraId="4822489C">
      <w:pPr>
        <w:spacing w:line="360" w:lineRule="auto"/>
        <w:ind w:firstLine="480" w:firstLineChars="200"/>
        <w:jc w:val="left"/>
        <w:rPr>
          <w:sz w:val="24"/>
        </w:rPr>
      </w:pPr>
      <m:oMath>
        <m:r>
          <m:rPr>
            <m:sty m:val="p"/>
          </m:rPr>
          <w:rPr>
            <w:rFonts w:ascii="Cambria Math" w:hAnsi="Cambria Math"/>
            <w:sz w:val="24"/>
          </w:rPr>
          <m:t>∆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T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i</m:t>
            </m:r>
            <m:ctrlPr>
              <w:rPr>
                <w:rFonts w:ascii="Cambria Math" w:hAnsi="Cambria Math"/>
                <w:sz w:val="24"/>
              </w:rPr>
            </m:ctrlPr>
          </m:sub>
        </m:sSub>
      </m:oMath>
      <w:r>
        <w:rPr>
          <w:rFonts w:hint="eastAsia"/>
          <w:sz w:val="24"/>
        </w:rPr>
        <w:t xml:space="preserve"> ——测定仪计时装置计时误差，s；</w:t>
      </w:r>
    </w:p>
    <w:p w14:paraId="19295014">
      <w:pPr>
        <w:spacing w:line="360" w:lineRule="auto"/>
        <w:ind w:firstLine="480"/>
        <w:rPr>
          <w:sz w:val="24"/>
        </w:rPr>
      </w:pPr>
      <m:oMath>
        <m:acc>
          <m:accPr>
            <m:chr m:val="̅"/>
            <m:ctrlPr>
              <w:rPr>
                <w:rFonts w:ascii="Cambria Math" w:hAnsi="Cambria Math"/>
                <w:sz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4"/>
                  </w:rPr>
                  <m:t>T</m:t>
                </m:r>
                <m:ctrlPr>
                  <w:rPr>
                    <w:rFonts w:ascii="Cambria Math" w:hAnsi="Cambria Math"/>
                    <w:sz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/>
                    <w:sz w:val="24"/>
                  </w:rPr>
                  <m:t>i</m:t>
                </m:r>
                <m:ctrlPr>
                  <w:rPr>
                    <w:rFonts w:ascii="Cambria Math" w:hAnsi="Cambria Math"/>
                    <w:sz w:val="24"/>
                  </w:rPr>
                </m:ctrlPr>
              </m:sub>
            </m:sSub>
            <m:ctrlPr>
              <w:rPr>
                <w:rFonts w:ascii="Cambria Math" w:hAnsi="Cambria Math"/>
                <w:sz w:val="24"/>
              </w:rPr>
            </m:ctrlPr>
          </m:e>
        </m:acc>
      </m:oMath>
      <w:r>
        <w:rPr>
          <w:rFonts w:hint="eastAsia" w:hAnsi="Cambria Math"/>
          <w:sz w:val="24"/>
        </w:rPr>
        <w:t xml:space="preserve">  </w:t>
      </w:r>
      <w:r>
        <w:rPr>
          <w:rFonts w:hint="eastAsia"/>
          <w:sz w:val="24"/>
        </w:rPr>
        <w:t>——时间检定仪测量的三次时间平均值，s；</w:t>
      </w:r>
    </w:p>
    <w:p w14:paraId="4B9342D3">
      <w:pPr>
        <w:spacing w:line="360" w:lineRule="auto"/>
        <w:ind w:firstLine="480"/>
        <w:rPr>
          <w:sz w:val="24"/>
        </w:rPr>
      </w:pP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T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0</m:t>
            </m:r>
            <m:ctrlPr>
              <w:rPr>
                <w:rFonts w:ascii="Cambria Math" w:hAnsi="Cambria Math"/>
                <w:sz w:val="24"/>
              </w:rPr>
            </m:ctrlPr>
          </m:sub>
        </m:sSub>
      </m:oMath>
      <w:r>
        <w:rPr>
          <w:rFonts w:hint="eastAsia"/>
          <w:sz w:val="24"/>
        </w:rPr>
        <w:t xml:space="preserve">  ——测定仪的设定计时时间，s。</w:t>
      </w:r>
    </w:p>
    <w:p w14:paraId="19BE77BB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7.4 针（锥）入度示值误差</w:t>
      </w:r>
    </w:p>
    <w:p w14:paraId="3B9342F8">
      <w:pPr>
        <w:spacing w:line="360" w:lineRule="auto"/>
        <w:ind w:firstLine="480"/>
        <w:jc w:val="left"/>
        <w:rPr>
          <w:sz w:val="24"/>
        </w:rPr>
      </w:pPr>
      <w:r>
        <w:rPr>
          <w:rFonts w:hint="eastAsia"/>
          <w:sz w:val="24"/>
        </w:rPr>
        <w:t>在测定仪的量程内均匀选取</w:t>
      </w:r>
      <w:r>
        <w:rPr>
          <w:rFonts w:hint="eastAsia"/>
          <w:sz w:val="24"/>
          <w:lang w:val="en-US" w:eastAsia="zh-CN"/>
        </w:rPr>
        <w:t>两个</w:t>
      </w:r>
      <w:r>
        <w:rPr>
          <w:rFonts w:hint="eastAsia"/>
          <w:sz w:val="24"/>
        </w:rPr>
        <w:t>校准点，将测定仪设定在工作状态。将保持试验温度的标准物质依次放于工作台上，使指示器处于零位，选择满足附录A要求的标准针（锥），使标准针（锥）连杆缓慢落下与标准物质接触，按试验时间释放滑杆，记录示值，重复测量三次，三次测量结果的平均值作为测量结果。按公式（4）计算示值误差。</w:t>
      </w:r>
    </w:p>
    <w:p w14:paraId="28AF80B9">
      <w:pPr>
        <w:spacing w:line="360" w:lineRule="auto"/>
        <w:ind w:firstLine="480"/>
        <w:jc w:val="center"/>
        <w:rPr>
          <w:sz w:val="24"/>
        </w:rPr>
      </w:pPr>
      <w:r>
        <w:rPr>
          <w:rFonts w:hint="eastAsia" w:hAnsi="Cambria Math"/>
          <w:sz w:val="24"/>
        </w:rPr>
        <w:t xml:space="preserve">                       </w:t>
      </w:r>
      <m:oMath>
        <m:r>
          <m:rPr>
            <m:sty m:val="p"/>
          </m:rPr>
          <w:rPr>
            <w:rFonts w:ascii="Cambria Math" w:hAnsi="Cambria Math"/>
            <w:sz w:val="24"/>
          </w:rPr>
          <m:t>∆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l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i</m:t>
            </m:r>
            <m:ctrlPr>
              <w:rPr>
                <w:rFonts w:ascii="Cambria Math" w:hAnsi="Cambria Math"/>
                <w:sz w:val="24"/>
              </w:rPr>
            </m:ctrlPr>
          </m:sub>
        </m:sSub>
        <m:r>
          <m:rPr>
            <m:sty m:val="p"/>
          </m:rPr>
          <w:rPr>
            <w:rFonts w:ascii="Cambria Math" w:hAnsi="Cambria Math"/>
            <w:sz w:val="24"/>
          </w:rPr>
          <m:t>=</m:t>
        </m:r>
        <m:acc>
          <m:accPr>
            <m:chr m:val="̅"/>
            <m:ctrlPr>
              <w:rPr>
                <w:rFonts w:ascii="Cambria Math" w:hAnsi="Cambria Math"/>
                <w:sz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4"/>
                  </w:rPr>
                  <m:t>l</m:t>
                </m:r>
                <m:ctrlPr>
                  <w:rPr>
                    <w:rFonts w:ascii="Cambria Math" w:hAnsi="Cambria Math"/>
                    <w:sz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/>
                    <w:sz w:val="24"/>
                  </w:rPr>
                  <m:t>i</m:t>
                </m:r>
                <m:ctrlPr>
                  <w:rPr>
                    <w:rFonts w:ascii="Cambria Math" w:hAnsi="Cambria Math"/>
                    <w:sz w:val="24"/>
                  </w:rPr>
                </m:ctrlPr>
              </m:sub>
            </m:sSub>
            <m:ctrlPr>
              <w:rPr>
                <w:rFonts w:ascii="Cambria Math" w:hAnsi="Cambria Math"/>
                <w:sz w:val="24"/>
              </w:rPr>
            </m:ctrlPr>
          </m:e>
        </m:acc>
        <m:r>
          <m:rPr>
            <m:sty m:val="p"/>
          </m:rPr>
          <w:rPr>
            <w:rFonts w:ascii="Cambria Math" w:hAnsi="Cambria Math"/>
            <w:sz w:val="24"/>
          </w:rPr>
          <m:t>−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l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0</m:t>
            </m:r>
            <m:ctrlPr>
              <w:rPr>
                <w:rFonts w:ascii="Cambria Math" w:hAnsi="Cambria Math"/>
                <w:sz w:val="24"/>
              </w:rPr>
            </m:ctrlPr>
          </m:sub>
        </m:sSub>
      </m:oMath>
      <w:r>
        <w:rPr>
          <w:rFonts w:hint="eastAsia" w:hAnsi="Cambria Math"/>
          <w:sz w:val="24"/>
        </w:rPr>
        <w:t xml:space="preserve">                                  （4）</w:t>
      </w:r>
    </w:p>
    <w:p w14:paraId="01CA24F8">
      <w:pPr>
        <w:spacing w:line="360" w:lineRule="auto"/>
        <w:ind w:firstLine="480"/>
        <w:jc w:val="left"/>
        <w:rPr>
          <w:sz w:val="24"/>
        </w:rPr>
      </w:pPr>
      <w:r>
        <w:rPr>
          <w:rFonts w:hint="eastAsia"/>
          <w:sz w:val="24"/>
        </w:rPr>
        <w:t>式中：</w:t>
      </w:r>
    </w:p>
    <w:p w14:paraId="25A0EDAB">
      <w:pPr>
        <w:spacing w:line="360" w:lineRule="auto"/>
        <w:ind w:firstLine="480"/>
        <w:jc w:val="left"/>
        <w:rPr>
          <w:sz w:val="24"/>
        </w:rPr>
      </w:pPr>
      <m:oMath>
        <m:r>
          <m:rPr>
            <m:sty m:val="p"/>
          </m:rPr>
          <w:rPr>
            <w:rFonts w:ascii="Cambria Math" w:hAnsi="Cambria Math"/>
            <w:sz w:val="24"/>
          </w:rPr>
          <m:t>∆</m:t>
        </m:r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l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i</m:t>
            </m:r>
            <m:ctrlPr>
              <w:rPr>
                <w:rFonts w:ascii="Cambria Math" w:hAnsi="Cambria Math"/>
                <w:sz w:val="24"/>
              </w:rPr>
            </m:ctrlPr>
          </m:sub>
        </m:sSub>
      </m:oMath>
      <w:r>
        <w:rPr>
          <w:rFonts w:hint="eastAsia"/>
          <w:sz w:val="24"/>
        </w:rPr>
        <w:t xml:space="preserve"> ——测定仪针（锥）入度示值误差，针入度；</w:t>
      </w:r>
    </w:p>
    <w:p w14:paraId="3A385440">
      <w:pPr>
        <w:spacing w:line="360" w:lineRule="auto"/>
        <w:ind w:firstLine="480"/>
        <w:jc w:val="left"/>
        <w:rPr>
          <w:sz w:val="24"/>
        </w:rPr>
      </w:pPr>
      <m:oMath>
        <m:acc>
          <m:accPr>
            <m:chr m:val="̅"/>
            <m:ctrlPr>
              <w:rPr>
                <w:rFonts w:ascii="Cambria Math" w:hAnsi="Cambria Math"/>
                <w:sz w:val="24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4"/>
                  </w:rPr>
                  <m:t>l</m:t>
                </m:r>
                <m:ctrlPr>
                  <w:rPr>
                    <w:rFonts w:ascii="Cambria Math" w:hAnsi="Cambria Math"/>
                    <w:sz w:val="24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/>
                    <w:sz w:val="24"/>
                  </w:rPr>
                  <m:t>i</m:t>
                </m:r>
                <m:ctrlPr>
                  <w:rPr>
                    <w:rFonts w:ascii="Cambria Math" w:hAnsi="Cambria Math"/>
                    <w:sz w:val="24"/>
                  </w:rPr>
                </m:ctrlPr>
              </m:sub>
            </m:sSub>
            <m:ctrlPr>
              <w:rPr>
                <w:rFonts w:ascii="Cambria Math" w:hAnsi="Cambria Math"/>
                <w:sz w:val="24"/>
              </w:rPr>
            </m:ctrlPr>
          </m:e>
        </m:acc>
      </m:oMath>
      <w:r>
        <w:rPr>
          <w:rFonts w:hint="eastAsia" w:hAnsi="Cambria Math"/>
          <w:sz w:val="24"/>
        </w:rPr>
        <w:t xml:space="preserve">   </w:t>
      </w:r>
      <w:r>
        <w:rPr>
          <w:rFonts w:hint="eastAsia"/>
          <w:sz w:val="24"/>
        </w:rPr>
        <w:t>——测定仪测量的三次针入度平均值，针入度；</w:t>
      </w:r>
    </w:p>
    <w:p w14:paraId="059F8425">
      <w:pPr>
        <w:spacing w:line="360" w:lineRule="auto"/>
        <w:ind w:firstLine="480"/>
        <w:jc w:val="left"/>
        <w:rPr>
          <w:sz w:val="24"/>
        </w:rPr>
      </w:pP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l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0</m:t>
            </m:r>
            <m:ctrlPr>
              <w:rPr>
                <w:rFonts w:ascii="Cambria Math" w:hAnsi="Cambria Math"/>
                <w:sz w:val="24"/>
              </w:rPr>
            </m:ctrlPr>
          </m:sub>
        </m:sSub>
      </m:oMath>
      <w:r>
        <w:rPr>
          <w:rFonts w:hint="eastAsia"/>
          <w:sz w:val="24"/>
        </w:rPr>
        <w:t xml:space="preserve">  ——标准物质的针（锥）入度标准值，针入度。</w:t>
      </w:r>
    </w:p>
    <w:p w14:paraId="2F3EA3C7">
      <w:pPr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t>7.5 针（锥）入度测量重复性</w:t>
      </w:r>
    </w:p>
    <w:p w14:paraId="33A1949D">
      <w:pPr>
        <w:spacing w:line="360" w:lineRule="auto"/>
        <w:ind w:firstLine="480"/>
        <w:jc w:val="left"/>
        <w:rPr>
          <w:sz w:val="24"/>
        </w:rPr>
      </w:pPr>
      <w:r>
        <w:rPr>
          <w:rFonts w:hint="eastAsia"/>
          <w:sz w:val="24"/>
        </w:rPr>
        <w:t>选取中间量程的标准物质，按照7.4的要求，测量中间量程标准物质的针入度，重复测量六次，按公式（5）计算针（锥）入度重复性。</w:t>
      </w:r>
    </w:p>
    <w:p w14:paraId="4B32D3B0">
      <w:pPr>
        <w:spacing w:line="360" w:lineRule="auto"/>
        <w:ind w:firstLine="2640" w:firstLineChars="1100"/>
        <w:jc w:val="left"/>
        <w:rPr>
          <w:rFonts w:hAnsi="Cambria Math"/>
          <w:sz w:val="24"/>
        </w:rPr>
      </w:pPr>
      <w:r>
        <w:rPr>
          <w:rFonts w:hint="eastAsia" w:hAnsi="Cambria Math"/>
          <w:sz w:val="24"/>
        </w:rPr>
        <w:t xml:space="preserve">      </w:t>
      </w:r>
      <w:bookmarkStart w:id="3" w:name="_Hlk205112563"/>
      <w:r>
        <w:rPr>
          <w:rFonts w:hint="eastAsia" w:ascii="宋体" w:hAnsi="宋体" w:cs="宋体"/>
          <w:position w:val="-26"/>
          <w:szCs w:val="21"/>
        </w:rPr>
        <w:object>
          <v:shape id="_x0000_i1025" o:spt="75" type="#_x0000_t75" style="height:52pt;width:78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23">
            <o:LockedField>false</o:LockedField>
          </o:OLEObject>
        </w:object>
      </w:r>
      <w:bookmarkEnd w:id="3"/>
      <w:r>
        <w:rPr>
          <w:rFonts w:hint="eastAsia" w:hAnsi="Cambria Math"/>
          <w:sz w:val="24"/>
        </w:rPr>
        <w:t xml:space="preserve">                               （5）</w:t>
      </w:r>
    </w:p>
    <w:p w14:paraId="6D873368">
      <w:pPr>
        <w:spacing w:line="360" w:lineRule="auto"/>
        <w:ind w:firstLine="480"/>
        <w:jc w:val="left"/>
        <w:rPr>
          <w:sz w:val="24"/>
        </w:rPr>
      </w:pPr>
      <w:r>
        <w:rPr>
          <w:rFonts w:hint="eastAsia"/>
          <w:i/>
          <w:iCs/>
          <w:sz w:val="24"/>
        </w:rPr>
        <w:t>s</w:t>
      </w:r>
      <w:r>
        <w:rPr>
          <w:rFonts w:hint="eastAsia"/>
          <w:sz w:val="24"/>
        </w:rPr>
        <w:t xml:space="preserve"> ——测定仪针（锥）入度示值误差，针入度；</w:t>
      </w:r>
    </w:p>
    <w:p w14:paraId="19708D69">
      <w:pPr>
        <w:spacing w:line="360" w:lineRule="auto"/>
        <w:ind w:firstLine="480"/>
        <w:jc w:val="left"/>
        <w:rPr>
          <w:sz w:val="24"/>
        </w:rPr>
      </w:pPr>
      <m:oMath>
        <m:sSub>
          <m:sSubPr>
            <m:ctrlPr>
              <w:rPr>
                <w:rFonts w:ascii="Cambria Math" w:hAnsi="Cambria Math"/>
                <w:sz w:val="24"/>
              </w:rPr>
            </m:ctrlPr>
          </m:sSubPr>
          <m:e>
            <m:r>
              <m:rPr/>
              <w:rPr>
                <w:rFonts w:ascii="Cambria Math" w:hAnsi="Cambria Math"/>
                <w:sz w:val="24"/>
              </w:rPr>
              <m:t>l</m:t>
            </m:r>
            <m:ctrlPr>
              <w:rPr>
                <w:rFonts w:ascii="Cambria Math" w:hAnsi="Cambria Math"/>
                <w:sz w:val="24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</w:rPr>
              <m:t>i</m:t>
            </m:r>
            <m:ctrlPr>
              <w:rPr>
                <w:rFonts w:ascii="Cambria Math" w:hAnsi="Cambria Math"/>
                <w:sz w:val="24"/>
              </w:rPr>
            </m:ctrlPr>
          </m:sub>
        </m:sSub>
      </m:oMath>
      <w:r>
        <w:rPr>
          <w:rFonts w:hint="eastAsia"/>
          <w:sz w:val="24"/>
        </w:rPr>
        <w:t>——测定仪针（锥）入度针入度测量值，针入度；</w:t>
      </w:r>
    </w:p>
    <w:p w14:paraId="08ACA66E">
      <w:pPr>
        <w:spacing w:line="360" w:lineRule="auto"/>
        <w:ind w:firstLine="480" w:firstLineChars="200"/>
        <w:jc w:val="left"/>
        <w:rPr>
          <w:sz w:val="24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4"/>
              </w:rPr>
            </m:ctrlPr>
          </m:accPr>
          <m:e>
            <m:r>
              <m:rPr/>
              <w:rPr>
                <w:rFonts w:ascii="Cambria Math" w:hAnsi="Cambria Math"/>
                <w:sz w:val="24"/>
              </w:rPr>
              <m:t>l</m:t>
            </m:r>
            <m:ctrlPr>
              <w:rPr>
                <w:rFonts w:ascii="Cambria Math" w:hAnsi="Cambria Math"/>
                <w:i/>
                <w:sz w:val="24"/>
              </w:rPr>
            </m:ctrlPr>
          </m:e>
        </m:acc>
      </m:oMath>
      <w:r>
        <w:rPr>
          <w:rFonts w:hint="eastAsia"/>
          <w:sz w:val="24"/>
        </w:rPr>
        <w:t xml:space="preserve"> ——测定仪针（锥）入度七次测量的平均值，针入度。</w:t>
      </w:r>
    </w:p>
    <w:p w14:paraId="3C51B521">
      <w:pPr>
        <w:spacing w:line="360" w:lineRule="auto"/>
        <w:ind w:firstLine="480"/>
        <w:jc w:val="left"/>
        <w:rPr>
          <w:sz w:val="24"/>
        </w:rPr>
      </w:pPr>
      <w:r>
        <w:rPr>
          <w:rFonts w:hint="eastAsia"/>
          <w:i/>
          <w:iCs/>
          <w:sz w:val="24"/>
        </w:rPr>
        <w:t>n</w:t>
      </w:r>
      <w:r>
        <w:rPr>
          <w:rFonts w:hint="eastAsia"/>
          <w:sz w:val="24"/>
        </w:rPr>
        <w:t xml:space="preserve"> ——六次；</w:t>
      </w:r>
    </w:p>
    <w:bookmarkEnd w:id="2"/>
    <w:p w14:paraId="0C4B5F9D">
      <w:pPr>
        <w:spacing w:line="440" w:lineRule="exact"/>
        <w:rPr>
          <w:b/>
          <w:sz w:val="24"/>
        </w:rPr>
      </w:pPr>
      <w:r>
        <w:rPr>
          <w:b/>
          <w:sz w:val="24"/>
        </w:rPr>
        <w:t>8  校准结果</w:t>
      </w:r>
      <w:r>
        <w:rPr>
          <w:rFonts w:hint="eastAsia"/>
          <w:b/>
          <w:sz w:val="24"/>
        </w:rPr>
        <w:t>表达</w:t>
      </w:r>
    </w:p>
    <w:p w14:paraId="59EC9F71">
      <w:pPr>
        <w:spacing w:line="360" w:lineRule="auto"/>
        <w:ind w:firstLine="360" w:firstLineChars="150"/>
        <w:rPr>
          <w:sz w:val="24"/>
        </w:rPr>
      </w:pPr>
      <w:r>
        <w:rPr>
          <w:rFonts w:hint="eastAsia"/>
          <w:sz w:val="24"/>
        </w:rPr>
        <w:t>石油产品针（锥）入度测定仪校准后，出具</w:t>
      </w:r>
      <w:r>
        <w:rPr>
          <w:sz w:val="24"/>
        </w:rPr>
        <w:t>校准证书</w:t>
      </w:r>
      <w:r>
        <w:rPr>
          <w:rFonts w:hint="eastAsia"/>
          <w:sz w:val="24"/>
        </w:rPr>
        <w:t>。校准证书应至少</w:t>
      </w:r>
      <w:r>
        <w:rPr>
          <w:sz w:val="24"/>
        </w:rPr>
        <w:t>包括以下信息：</w:t>
      </w:r>
    </w:p>
    <w:p w14:paraId="092BC16F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标题</w:t>
      </w:r>
      <w:r>
        <w:rPr>
          <w:rFonts w:hint="eastAsia"/>
          <w:sz w:val="24"/>
        </w:rPr>
        <w:t>：</w:t>
      </w:r>
      <w:r>
        <w:rPr>
          <w:sz w:val="24"/>
        </w:rPr>
        <w:t>“校准证书”；</w:t>
      </w:r>
    </w:p>
    <w:p w14:paraId="350EB86B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实验室名称和地址；</w:t>
      </w:r>
    </w:p>
    <w:p w14:paraId="0E0583DD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进行校准的地点</w:t>
      </w:r>
      <w:r>
        <w:rPr>
          <w:rFonts w:hint="eastAsia"/>
          <w:sz w:val="24"/>
        </w:rPr>
        <w:t>（如果与实验室的地址不同）</w:t>
      </w:r>
      <w:r>
        <w:rPr>
          <w:sz w:val="24"/>
        </w:rPr>
        <w:t>；</w:t>
      </w:r>
    </w:p>
    <w:p w14:paraId="4E0A853A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证书的唯一性标识（如编号），每页及总页数的标识；</w:t>
      </w:r>
    </w:p>
    <w:p w14:paraId="275907CC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客户的名称和地址；</w:t>
      </w:r>
    </w:p>
    <w:p w14:paraId="258885DD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被校对象的描述和明确标识；</w:t>
      </w:r>
    </w:p>
    <w:p w14:paraId="42D37A66">
      <w:pPr>
        <w:numPr>
          <w:ilvl w:val="0"/>
          <w:numId w:val="1"/>
        </w:numPr>
        <w:spacing w:line="360" w:lineRule="auto"/>
        <w:ind w:left="357" w:firstLine="40"/>
        <w:jc w:val="left"/>
        <w:rPr>
          <w:sz w:val="24"/>
        </w:rPr>
      </w:pPr>
      <w:r>
        <w:rPr>
          <w:sz w:val="24"/>
        </w:rPr>
        <w:t>进行校准的日期，如果与校准结果的有效性和应用有关时，应说明被校对象的接收日期；</w:t>
      </w:r>
    </w:p>
    <w:p w14:paraId="129DAED6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如果与校准结果的有效性应用有关时，应对被校样品的抽样程序进行说明；</w:t>
      </w:r>
    </w:p>
    <w:p w14:paraId="155DE6D6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校准所依据的技术规范的标识，包括名称及代号；</w:t>
      </w:r>
    </w:p>
    <w:p w14:paraId="0873EE64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本次校准所用测量标准的溯源性及有效性说明；</w:t>
      </w:r>
    </w:p>
    <w:p w14:paraId="0DE9756E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校准环境的描述；</w:t>
      </w:r>
    </w:p>
    <w:p w14:paraId="423C7722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校准结果及</w:t>
      </w:r>
      <w:r>
        <w:rPr>
          <w:rFonts w:hint="eastAsia"/>
          <w:sz w:val="24"/>
        </w:rPr>
        <w:t>其</w:t>
      </w:r>
      <w:r>
        <w:rPr>
          <w:sz w:val="24"/>
        </w:rPr>
        <w:t>测量不确定度的说明；</w:t>
      </w:r>
    </w:p>
    <w:p w14:paraId="06A7C1C3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对</w:t>
      </w:r>
      <w:r>
        <w:rPr>
          <w:sz w:val="24"/>
        </w:rPr>
        <w:t>校准规范的偏离的说明；</w:t>
      </w:r>
    </w:p>
    <w:p w14:paraId="573248D5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校准证书</w:t>
      </w:r>
      <w:r>
        <w:rPr>
          <w:rFonts w:hint="eastAsia"/>
          <w:sz w:val="24"/>
        </w:rPr>
        <w:t>或</w:t>
      </w:r>
      <w:r>
        <w:rPr>
          <w:sz w:val="24"/>
        </w:rPr>
        <w:t>校准报告签发人的签名</w:t>
      </w:r>
      <w:r>
        <w:rPr>
          <w:rFonts w:hint="eastAsia"/>
          <w:sz w:val="24"/>
        </w:rPr>
        <w:t>、</w:t>
      </w:r>
      <w:r>
        <w:rPr>
          <w:sz w:val="24"/>
        </w:rPr>
        <w:t>职务或等效标识；</w:t>
      </w:r>
    </w:p>
    <w:p w14:paraId="1377E012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校准结果仅对被校对象的有效的</w:t>
      </w:r>
      <w:r>
        <w:rPr>
          <w:rFonts w:hint="eastAsia"/>
          <w:sz w:val="24"/>
        </w:rPr>
        <w:t>申</w:t>
      </w:r>
      <w:r>
        <w:rPr>
          <w:sz w:val="24"/>
        </w:rPr>
        <w:t>明；</w:t>
      </w:r>
    </w:p>
    <w:p w14:paraId="2E358CF8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未经实验室书面批准，不得部分复制证书</w:t>
      </w:r>
      <w:r>
        <w:rPr>
          <w:rFonts w:hint="eastAsia"/>
          <w:sz w:val="24"/>
        </w:rPr>
        <w:t>的申</w:t>
      </w:r>
      <w:r>
        <w:rPr>
          <w:sz w:val="24"/>
        </w:rPr>
        <w:t>明。</w:t>
      </w:r>
    </w:p>
    <w:p w14:paraId="2FEEFEE6">
      <w:pPr>
        <w:tabs>
          <w:tab w:val="left" w:pos="360"/>
        </w:tabs>
        <w:spacing w:line="360" w:lineRule="auto"/>
        <w:ind w:left="397"/>
        <w:rPr>
          <w:sz w:val="24"/>
        </w:rPr>
      </w:pPr>
      <w:r>
        <w:rPr>
          <w:rFonts w:hint="eastAsia"/>
          <w:sz w:val="24"/>
        </w:rPr>
        <w:t>校准原始记录推荐格式见附录B，校准证书内页推荐格式见附录C。</w:t>
      </w:r>
    </w:p>
    <w:p w14:paraId="0AD24C95">
      <w:pPr>
        <w:spacing w:line="360" w:lineRule="auto"/>
        <w:rPr>
          <w:b/>
          <w:sz w:val="24"/>
        </w:rPr>
      </w:pPr>
      <w:r>
        <w:rPr>
          <w:b/>
          <w:sz w:val="24"/>
        </w:rPr>
        <w:t>9  复校时间间隔</w:t>
      </w:r>
    </w:p>
    <w:p w14:paraId="12F3203D">
      <w:pPr>
        <w:spacing w:line="340" w:lineRule="exact"/>
        <w:ind w:firstLine="480"/>
        <w:rPr>
          <w:sz w:val="24"/>
        </w:rPr>
      </w:pPr>
      <w:r>
        <w:rPr>
          <w:rFonts w:hint="eastAsia"/>
          <w:sz w:val="24"/>
        </w:rPr>
        <w:t>建议复校时间间隔不超过12个月。</w:t>
      </w:r>
    </w:p>
    <w:p w14:paraId="56051E3B">
      <w:pPr>
        <w:spacing w:line="340" w:lineRule="exact"/>
        <w:ind w:firstLine="480"/>
        <w:rPr>
          <w:rFonts w:asciiTheme="majorEastAsia" w:hAnsiTheme="majorEastAsia" w:eastAsiaTheme="majorEastAsia"/>
          <w:b/>
          <w:sz w:val="24"/>
        </w:rPr>
      </w:pPr>
      <w:r>
        <w:rPr>
          <w:rFonts w:hint="eastAsia"/>
          <w:sz w:val="24"/>
        </w:rPr>
        <w:t>由于复校时间间隔的长短是由仪器的使用情况、使用者、仪器本身质量等诸多因素所决定的，因此送校单位根据实际使用情况自主决定复校时间间隔。</w:t>
      </w:r>
    </w:p>
    <w:p w14:paraId="6D4C1FA1">
      <w:pPr>
        <w:spacing w:line="340" w:lineRule="exact"/>
        <w:rPr>
          <w:rFonts w:asciiTheme="majorEastAsia" w:hAnsiTheme="majorEastAsia" w:eastAsiaTheme="majorEastAsia"/>
          <w:b/>
          <w:sz w:val="24"/>
        </w:rPr>
      </w:pPr>
    </w:p>
    <w:p w14:paraId="352B4740">
      <w:pPr>
        <w:spacing w:line="340" w:lineRule="exact"/>
        <w:rPr>
          <w:rFonts w:asciiTheme="majorEastAsia" w:hAnsiTheme="majorEastAsia" w:eastAsiaTheme="majorEastAsia"/>
          <w:b/>
          <w:sz w:val="24"/>
        </w:rPr>
      </w:pPr>
    </w:p>
    <w:p w14:paraId="444F3C0F">
      <w:pPr>
        <w:spacing w:line="340" w:lineRule="exact"/>
        <w:rPr>
          <w:rFonts w:asciiTheme="majorEastAsia" w:hAnsiTheme="majorEastAsia" w:eastAsiaTheme="majorEastAsia"/>
          <w:b/>
          <w:sz w:val="24"/>
        </w:rPr>
      </w:pPr>
    </w:p>
    <w:p w14:paraId="74BC36B8">
      <w:pPr>
        <w:spacing w:line="340" w:lineRule="exact"/>
        <w:rPr>
          <w:rFonts w:asciiTheme="majorEastAsia" w:hAnsiTheme="majorEastAsia" w:eastAsiaTheme="majorEastAsia"/>
          <w:b/>
          <w:sz w:val="24"/>
        </w:rPr>
      </w:pPr>
    </w:p>
    <w:p w14:paraId="1DFEC864">
      <w:pPr>
        <w:spacing w:line="340" w:lineRule="exact"/>
        <w:rPr>
          <w:rFonts w:asciiTheme="majorEastAsia" w:hAnsiTheme="majorEastAsia" w:eastAsiaTheme="majorEastAsia"/>
          <w:b/>
          <w:sz w:val="24"/>
        </w:rPr>
      </w:pPr>
    </w:p>
    <w:p w14:paraId="0C9DF112">
      <w:pPr>
        <w:spacing w:line="340" w:lineRule="exact"/>
        <w:rPr>
          <w:rFonts w:asciiTheme="majorEastAsia" w:hAnsiTheme="majorEastAsia" w:eastAsiaTheme="majorEastAsia"/>
          <w:b/>
          <w:sz w:val="24"/>
        </w:rPr>
      </w:pPr>
    </w:p>
    <w:p w14:paraId="7CEF4A24">
      <w:pPr>
        <w:spacing w:line="340" w:lineRule="exact"/>
        <w:rPr>
          <w:rFonts w:asciiTheme="majorEastAsia" w:hAnsiTheme="majorEastAsia" w:eastAsiaTheme="majorEastAsia"/>
          <w:b/>
          <w:sz w:val="24"/>
        </w:rPr>
      </w:pPr>
    </w:p>
    <w:p w14:paraId="2BDDDF31">
      <w:pPr>
        <w:spacing w:line="340" w:lineRule="exact"/>
        <w:rPr>
          <w:rFonts w:asciiTheme="majorEastAsia" w:hAnsiTheme="majorEastAsia" w:eastAsiaTheme="majorEastAsia"/>
          <w:b/>
          <w:sz w:val="24"/>
        </w:rPr>
      </w:pPr>
    </w:p>
    <w:p w14:paraId="733AE4AB">
      <w:pPr>
        <w:spacing w:line="340" w:lineRule="exact"/>
        <w:rPr>
          <w:rFonts w:asciiTheme="majorEastAsia" w:hAnsiTheme="majorEastAsia" w:eastAsiaTheme="majorEastAsia"/>
          <w:b/>
          <w:sz w:val="24"/>
        </w:rPr>
      </w:pPr>
    </w:p>
    <w:p w14:paraId="685F73C5">
      <w:pPr>
        <w:spacing w:line="340" w:lineRule="exact"/>
        <w:rPr>
          <w:rFonts w:asciiTheme="majorEastAsia" w:hAnsiTheme="majorEastAsia" w:eastAsiaTheme="majorEastAsia"/>
          <w:b/>
          <w:sz w:val="24"/>
        </w:rPr>
      </w:pPr>
    </w:p>
    <w:p w14:paraId="0C3E883E">
      <w:pPr>
        <w:spacing w:line="340" w:lineRule="exact"/>
        <w:rPr>
          <w:rFonts w:asciiTheme="majorEastAsia" w:hAnsiTheme="majorEastAsia" w:eastAsiaTheme="majorEastAsia"/>
          <w:b/>
          <w:sz w:val="24"/>
        </w:rPr>
      </w:pPr>
    </w:p>
    <w:p w14:paraId="11C31F27">
      <w:pPr>
        <w:spacing w:line="340" w:lineRule="exact"/>
        <w:rPr>
          <w:rFonts w:asciiTheme="majorEastAsia" w:hAnsiTheme="majorEastAsia" w:eastAsiaTheme="majorEastAsia"/>
          <w:b/>
          <w:sz w:val="24"/>
        </w:rPr>
      </w:pPr>
      <w:r>
        <w:rPr>
          <w:rFonts w:asciiTheme="majorEastAsia" w:hAnsiTheme="majorEastAsia" w:eastAsiaTheme="majorEastAsia"/>
          <w:b/>
          <w:sz w:val="24"/>
        </w:rPr>
        <w:t>附录</w:t>
      </w:r>
      <w:r>
        <w:rPr>
          <w:rFonts w:hint="eastAsia" w:asciiTheme="majorEastAsia" w:hAnsiTheme="majorEastAsia" w:eastAsiaTheme="majorEastAsia"/>
          <w:b/>
          <w:sz w:val="24"/>
        </w:rPr>
        <w:t>A</w:t>
      </w:r>
    </w:p>
    <w:p w14:paraId="52D32F76">
      <w:pPr>
        <w:spacing w:line="340" w:lineRule="exact"/>
        <w:jc w:val="center"/>
        <w:rPr>
          <w:rFonts w:ascii="黑体" w:hAnsi="黑体" w:eastAsia="黑体"/>
          <w:b/>
          <w:sz w:val="24"/>
        </w:rPr>
      </w:pPr>
      <w:r>
        <w:rPr>
          <w:rFonts w:hint="eastAsia" w:ascii="黑体" w:hAnsi="黑体" w:eastAsia="黑体"/>
          <w:b/>
          <w:sz w:val="24"/>
        </w:rPr>
        <w:t>石油产品针（锥）入度测定仪用标准针（锥）计量特性测试方法</w:t>
      </w:r>
    </w:p>
    <w:p w14:paraId="0BAAC72F">
      <w:pPr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石油产品针入度和锥入度测定仪标准针（锥）计量特性以及测试需要的计量器具主要如表</w:t>
      </w:r>
      <w:r>
        <w:rPr>
          <w:rFonts w:hint="eastAsia" w:asciiTheme="majorEastAsia" w:hAnsiTheme="majorEastAsia" w:eastAsiaTheme="majorEastAsia"/>
          <w:sz w:val="24"/>
        </w:rPr>
        <w:t>A.1、图A.1、表A.2、图A.2、图A.3和图A.4所示：</w:t>
      </w:r>
    </w:p>
    <w:p w14:paraId="7A111CE0">
      <w:pPr>
        <w:numPr>
          <w:ilvl w:val="0"/>
          <w:numId w:val="2"/>
        </w:numPr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直径类参数测试方法：用外径千分尺测量</w:t>
      </w:r>
      <w:r>
        <w:rPr>
          <w:rFonts w:hint="eastAsia" w:asciiTheme="majorEastAsia" w:hAnsiTheme="majorEastAsia" w:eastAsiaTheme="majorEastAsia"/>
          <w:bCs/>
          <w:sz w:val="24"/>
        </w:rPr>
        <w:t>标准针（锥）</w:t>
      </w:r>
      <w:r>
        <w:rPr>
          <w:rFonts w:hint="eastAsia" w:asciiTheme="majorEastAsia" w:hAnsiTheme="majorEastAsia" w:eastAsiaTheme="majorEastAsia"/>
          <w:sz w:val="24"/>
        </w:rPr>
        <w:t>直径类参数。</w:t>
      </w:r>
    </w:p>
    <w:p w14:paraId="4C66B1EF">
      <w:pPr>
        <w:numPr>
          <w:ilvl w:val="0"/>
          <w:numId w:val="2"/>
        </w:numPr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角度类参数测试方法：按影像测量仪说明书要求开机预热，清洁被测</w:t>
      </w:r>
      <w:r>
        <w:rPr>
          <w:rFonts w:hint="eastAsia" w:asciiTheme="majorEastAsia" w:hAnsiTheme="majorEastAsia" w:eastAsiaTheme="majorEastAsia"/>
          <w:bCs/>
          <w:sz w:val="24"/>
        </w:rPr>
        <w:t>标准针（锥）的表面，避免反光或污渍成像，选择合适的镜头倍率，将被测试标准针（锥）放置在测量平台上，调整焦距和光照，使边缘清晰，通过软件捕捉图像，确保无模糊或阴影干扰，用软件工具选择边缘点、直线或圆，软件根据选取的特征自动拟合，测出角度值。</w:t>
      </w:r>
    </w:p>
    <w:p w14:paraId="69BAC228">
      <w:pPr>
        <w:numPr>
          <w:ilvl w:val="0"/>
          <w:numId w:val="2"/>
        </w:numPr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质量类参数测试方法：用电子天平测量标准针（锥）质量类参数。</w:t>
      </w:r>
    </w:p>
    <w:p w14:paraId="221EB49C">
      <w:pPr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 xml:space="preserve">    也可以采用满足校准规范要求的其它方法测试标准针（锥）计量特性。</w:t>
      </w:r>
    </w:p>
    <w:p w14:paraId="4A0F826D">
      <w:pPr>
        <w:rPr>
          <w:rFonts w:asciiTheme="majorEastAsia" w:hAnsiTheme="majorEastAsia" w:eastAsiaTheme="majorEastAsia"/>
          <w:sz w:val="24"/>
        </w:rPr>
      </w:pPr>
    </w:p>
    <w:p w14:paraId="53315B42">
      <w:pPr>
        <w:spacing w:line="360" w:lineRule="auto"/>
        <w:jc w:val="center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表1 石油蜡针入度测定仪</w:t>
      </w:r>
      <w:r>
        <w:rPr>
          <w:rFonts w:asciiTheme="majorEastAsia" w:hAnsiTheme="majorEastAsia" w:eastAsiaTheme="majorEastAsia"/>
          <w:sz w:val="24"/>
        </w:rPr>
        <w:t>的计量特性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1"/>
        <w:gridCol w:w="3284"/>
        <w:gridCol w:w="2961"/>
      </w:tblGrid>
      <w:tr w14:paraId="22A23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41" w:type="dxa"/>
          </w:tcPr>
          <w:p w14:paraId="722D6CDC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 xml:space="preserve"> 参数</w:t>
            </w:r>
          </w:p>
        </w:tc>
        <w:tc>
          <w:tcPr>
            <w:tcW w:w="3284" w:type="dxa"/>
          </w:tcPr>
          <w:p w14:paraId="0EEDAEC2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要求</w:t>
            </w:r>
          </w:p>
        </w:tc>
        <w:tc>
          <w:tcPr>
            <w:tcW w:w="2961" w:type="dxa"/>
          </w:tcPr>
          <w:p w14:paraId="210A1933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计量器具</w:t>
            </w:r>
          </w:p>
        </w:tc>
      </w:tr>
      <w:tr w14:paraId="24AF0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41" w:type="dxa"/>
            <w:shd w:val="clear" w:color="auto" w:fill="auto"/>
          </w:tcPr>
          <w:p w14:paraId="31E84110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标准针针体直径</w:t>
            </w:r>
          </w:p>
        </w:tc>
        <w:tc>
          <w:tcPr>
            <w:tcW w:w="3284" w:type="dxa"/>
            <w:shd w:val="clear" w:color="auto" w:fill="auto"/>
          </w:tcPr>
          <w:p w14:paraId="6AB81B29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（3.84～4.28）mm</w:t>
            </w:r>
          </w:p>
        </w:tc>
        <w:tc>
          <w:tcPr>
            <w:tcW w:w="2961" w:type="dxa"/>
            <w:vMerge w:val="restart"/>
            <w:vAlign w:val="center"/>
          </w:tcPr>
          <w:p w14:paraId="43AC410E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外径千分尺MPE：±4um</w:t>
            </w:r>
          </w:p>
          <w:p w14:paraId="3F83F880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影像测量仪MPE：±4um</w:t>
            </w:r>
          </w:p>
        </w:tc>
      </w:tr>
      <w:tr w14:paraId="137BE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41" w:type="dxa"/>
          </w:tcPr>
          <w:p w14:paraId="4202A2DD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标准针小头截面直径</w:t>
            </w:r>
          </w:p>
        </w:tc>
        <w:tc>
          <w:tcPr>
            <w:tcW w:w="3284" w:type="dxa"/>
          </w:tcPr>
          <w:p w14:paraId="261BFC68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（0.14～0.16）mm</w:t>
            </w:r>
          </w:p>
        </w:tc>
        <w:tc>
          <w:tcPr>
            <w:tcW w:w="2961" w:type="dxa"/>
            <w:vMerge w:val="continue"/>
          </w:tcPr>
          <w:p w14:paraId="01846BE4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 w14:paraId="3354C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41" w:type="dxa"/>
          </w:tcPr>
          <w:p w14:paraId="33E9EA41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标准针椎体角度</w:t>
            </w:r>
          </w:p>
        </w:tc>
        <w:tc>
          <w:tcPr>
            <w:tcW w:w="3284" w:type="dxa"/>
          </w:tcPr>
          <w:p w14:paraId="6D68DA97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8°55′～9°25′</w:t>
            </w:r>
          </w:p>
        </w:tc>
        <w:tc>
          <w:tcPr>
            <w:tcW w:w="2961" w:type="dxa"/>
            <w:vMerge w:val="continue"/>
          </w:tcPr>
          <w:p w14:paraId="157F681C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 w14:paraId="3952E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41" w:type="dxa"/>
          </w:tcPr>
          <w:p w14:paraId="4FEDE719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标准针质量</w:t>
            </w:r>
          </w:p>
        </w:tc>
        <w:tc>
          <w:tcPr>
            <w:tcW w:w="3284" w:type="dxa"/>
          </w:tcPr>
          <w:p w14:paraId="493CD1CD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（2.5±0.05）g</w:t>
            </w:r>
          </w:p>
        </w:tc>
        <w:tc>
          <w:tcPr>
            <w:tcW w:w="2961" w:type="dxa"/>
            <w:vMerge w:val="restart"/>
            <w:vAlign w:val="center"/>
          </w:tcPr>
          <w:p w14:paraId="5B583C87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电子天平：</w:t>
            </w:r>
            <w:r>
              <w:rPr>
                <w:rFonts w:asciiTheme="majorEastAsia" w:hAnsiTheme="majorEastAsia" w:eastAsiaTheme="majorEastAsia" w:cstheme="majorEastAsia"/>
                <w:kern w:val="0"/>
                <w:sz w:val="24"/>
              </w:rPr>
              <w:fldChar w:fldCharType="begin"/>
            </w:r>
            <w:r>
              <w:rPr>
                <w:rFonts w:asciiTheme="majorEastAsia" w:hAnsiTheme="majorEastAsia" w:eastAsiaTheme="majorEastAsia" w:cstheme="majorEastAsia"/>
                <w:kern w:val="0"/>
                <w:sz w:val="24"/>
              </w:rPr>
              <w:instrText xml:space="preserve"> </w:instrTex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instrText xml:space="preserve">eq \o\ac(○,</w:instrText>
            </w:r>
            <w:r>
              <w:rPr>
                <w:rFonts w:hint="eastAsia" w:ascii="宋体" w:hAnsiTheme="majorEastAsia" w:eastAsiaTheme="majorEastAsia" w:cstheme="majorEastAsia"/>
                <w:kern w:val="0"/>
                <w:position w:val="3"/>
                <w:sz w:val="16"/>
              </w:rPr>
              <w:instrText xml:space="preserve">Ⅰ</w:instrTex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instrText xml:space="preserve">)</w:instrText>
            </w:r>
            <w:r>
              <w:rPr>
                <w:rFonts w:asciiTheme="majorEastAsia" w:hAnsiTheme="majorEastAsia" w:eastAsiaTheme="majorEastAsia" w:cstheme="majorEastAsia"/>
                <w:kern w:val="0"/>
                <w:sz w:val="24"/>
              </w:rPr>
              <w:fldChar w:fldCharType="end"/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级</w:t>
            </w:r>
          </w:p>
        </w:tc>
      </w:tr>
      <w:tr w14:paraId="5AB9E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41" w:type="dxa"/>
          </w:tcPr>
          <w:p w14:paraId="6D49281B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滑杆总质量</w:t>
            </w:r>
          </w:p>
        </w:tc>
        <w:tc>
          <w:tcPr>
            <w:tcW w:w="3284" w:type="dxa"/>
          </w:tcPr>
          <w:p w14:paraId="16498092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（47.5±0.05）g</w:t>
            </w:r>
          </w:p>
        </w:tc>
        <w:tc>
          <w:tcPr>
            <w:tcW w:w="2961" w:type="dxa"/>
            <w:vMerge w:val="continue"/>
          </w:tcPr>
          <w:p w14:paraId="2B625973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 w14:paraId="5710A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41" w:type="dxa"/>
            <w:shd w:val="clear" w:color="auto" w:fill="auto"/>
          </w:tcPr>
          <w:p w14:paraId="0659316E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砝码总质量</w:t>
            </w:r>
          </w:p>
        </w:tc>
        <w:tc>
          <w:tcPr>
            <w:tcW w:w="3284" w:type="dxa"/>
            <w:shd w:val="clear" w:color="auto" w:fill="auto"/>
          </w:tcPr>
          <w:p w14:paraId="78E96B81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（50±0.05）g</w:t>
            </w:r>
          </w:p>
        </w:tc>
        <w:tc>
          <w:tcPr>
            <w:tcW w:w="2961" w:type="dxa"/>
            <w:vMerge w:val="continue"/>
          </w:tcPr>
          <w:p w14:paraId="1D40DE02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 w14:paraId="26EA1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6" w:type="dxa"/>
            <w:gridSpan w:val="3"/>
          </w:tcPr>
          <w:p w14:paraId="1E059D65">
            <w:pPr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注：以上指标不用于合格性判定，仅供参考，可使用满足要求的其它长度计量器具。</w:t>
            </w:r>
          </w:p>
        </w:tc>
      </w:tr>
    </w:tbl>
    <w:p w14:paraId="315A209A">
      <w:pPr>
        <w:rPr>
          <w:rFonts w:asciiTheme="majorEastAsia" w:hAnsiTheme="majorEastAsia" w:eastAsiaTheme="majorEastAsia"/>
          <w:sz w:val="24"/>
        </w:rPr>
      </w:pPr>
    </w:p>
    <w:p w14:paraId="596279E3">
      <w:pPr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drawing>
          <wp:inline distT="0" distB="0" distL="0" distR="0">
            <wp:extent cx="5759450" cy="1671955"/>
            <wp:effectExtent l="0" t="0" r="0" b="444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671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D8BDAD">
      <w:pPr>
        <w:jc w:val="center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图A.1石油蜡针入度几何参数（单位：mm）</w:t>
      </w:r>
    </w:p>
    <w:p w14:paraId="2B62DFB6">
      <w:pPr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A.2石油产品锥入度测定仪标准锥</w:t>
      </w:r>
    </w:p>
    <w:p w14:paraId="16D27FAC">
      <w:pPr>
        <w:spacing w:line="360" w:lineRule="auto"/>
        <w:jc w:val="center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表2 润滑脂和石油脂锥入度测定仪</w:t>
      </w:r>
      <w:r>
        <w:rPr>
          <w:rFonts w:asciiTheme="majorEastAsia" w:hAnsiTheme="majorEastAsia" w:eastAsiaTheme="majorEastAsia"/>
          <w:sz w:val="24"/>
        </w:rPr>
        <w:t>的计量特性</w:t>
      </w:r>
    </w:p>
    <w:tbl>
      <w:tblPr>
        <w:tblStyle w:val="1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8"/>
        <w:gridCol w:w="3272"/>
        <w:gridCol w:w="2946"/>
      </w:tblGrid>
      <w:tr w14:paraId="313C4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68" w:type="dxa"/>
          </w:tcPr>
          <w:p w14:paraId="7484B7F8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参数</w:t>
            </w:r>
          </w:p>
        </w:tc>
        <w:tc>
          <w:tcPr>
            <w:tcW w:w="3272" w:type="dxa"/>
          </w:tcPr>
          <w:p w14:paraId="388CDA5B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要求</w:t>
            </w:r>
          </w:p>
        </w:tc>
        <w:tc>
          <w:tcPr>
            <w:tcW w:w="2946" w:type="dxa"/>
          </w:tcPr>
          <w:p w14:paraId="1D734F13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计量器具</w:t>
            </w:r>
          </w:p>
        </w:tc>
      </w:tr>
      <w:tr w14:paraId="3B384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68" w:type="dxa"/>
            <w:shd w:val="clear" w:color="auto" w:fill="auto"/>
            <w:vAlign w:val="center"/>
          </w:tcPr>
          <w:p w14:paraId="0DD30E6B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全尺寸锥体几何参数</w:t>
            </w:r>
          </w:p>
        </w:tc>
        <w:tc>
          <w:tcPr>
            <w:tcW w:w="3272" w:type="dxa"/>
            <w:shd w:val="clear" w:color="auto" w:fill="auto"/>
          </w:tcPr>
          <w:p w14:paraId="0C05F644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参见图A.2,</w:t>
            </w:r>
          </w:p>
          <w:p w14:paraId="7A5609C9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图中未标明参数：±1mm</w:t>
            </w:r>
          </w:p>
        </w:tc>
        <w:tc>
          <w:tcPr>
            <w:tcW w:w="2946" w:type="dxa"/>
            <w:vMerge w:val="restart"/>
            <w:vAlign w:val="center"/>
          </w:tcPr>
          <w:p w14:paraId="18B34EEC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外径千分尺MPE：±4um</w:t>
            </w:r>
          </w:p>
          <w:p w14:paraId="4877E9F1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影像测量仪</w:t>
            </w:r>
          </w:p>
          <w:p w14:paraId="0B35E81C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MPE：±</w:t>
            </w:r>
            <w:r>
              <w:rPr>
                <w:rFonts w:asciiTheme="majorEastAsia" w:hAnsiTheme="majorEastAsia" w:eastAsiaTheme="majorEastAsia" w:cstheme="majorEastAsia"/>
                <w:kern w:val="0"/>
                <w:sz w:val="24"/>
              </w:rPr>
              <w:t>（3.0+L/200）μm</w:t>
            </w:r>
          </w:p>
        </w:tc>
      </w:tr>
      <w:tr w14:paraId="00C73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68" w:type="dxa"/>
            <w:vAlign w:val="center"/>
          </w:tcPr>
          <w:p w14:paraId="1EAA231D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1/2比例锥体几何参数</w:t>
            </w:r>
          </w:p>
        </w:tc>
        <w:tc>
          <w:tcPr>
            <w:tcW w:w="3272" w:type="dxa"/>
          </w:tcPr>
          <w:p w14:paraId="25CEBC11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参见图A.3,</w:t>
            </w:r>
          </w:p>
          <w:p w14:paraId="0026FDB2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图中未标明参数：±0.5mm</w:t>
            </w:r>
          </w:p>
        </w:tc>
        <w:tc>
          <w:tcPr>
            <w:tcW w:w="2946" w:type="dxa"/>
            <w:vMerge w:val="continue"/>
          </w:tcPr>
          <w:p w14:paraId="0114A755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 w14:paraId="2A731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68" w:type="dxa"/>
            <w:vAlign w:val="center"/>
          </w:tcPr>
          <w:p w14:paraId="1BF301C6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1/4比例锥体几何参数</w:t>
            </w:r>
          </w:p>
        </w:tc>
        <w:tc>
          <w:tcPr>
            <w:tcW w:w="3272" w:type="dxa"/>
          </w:tcPr>
          <w:p w14:paraId="06E2FFCF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参见图A.4,</w:t>
            </w:r>
          </w:p>
          <w:p w14:paraId="7F868317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图中未标明参数：±0.25mm</w:t>
            </w:r>
          </w:p>
        </w:tc>
        <w:tc>
          <w:tcPr>
            <w:tcW w:w="2946" w:type="dxa"/>
            <w:vMerge w:val="continue"/>
          </w:tcPr>
          <w:p w14:paraId="53EF8540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 w14:paraId="3F598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68" w:type="dxa"/>
          </w:tcPr>
          <w:p w14:paraId="06B53861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全尺寸锥体总质量</w:t>
            </w:r>
          </w:p>
        </w:tc>
        <w:tc>
          <w:tcPr>
            <w:tcW w:w="3272" w:type="dxa"/>
          </w:tcPr>
          <w:p w14:paraId="7580EA0F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（102.50±0.05）g</w:t>
            </w:r>
          </w:p>
        </w:tc>
        <w:tc>
          <w:tcPr>
            <w:tcW w:w="2946" w:type="dxa"/>
            <w:vMerge w:val="restart"/>
            <w:vAlign w:val="center"/>
          </w:tcPr>
          <w:p w14:paraId="23BB0A41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电子天平：</w:t>
            </w:r>
            <w:r>
              <w:rPr>
                <w:rFonts w:asciiTheme="majorEastAsia" w:hAnsiTheme="majorEastAsia" w:eastAsiaTheme="majorEastAsia" w:cstheme="majorEastAsia"/>
                <w:kern w:val="0"/>
                <w:sz w:val="24"/>
              </w:rPr>
              <w:fldChar w:fldCharType="begin"/>
            </w:r>
            <w:r>
              <w:rPr>
                <w:rFonts w:asciiTheme="majorEastAsia" w:hAnsiTheme="majorEastAsia" w:eastAsiaTheme="majorEastAsia" w:cstheme="majorEastAsia"/>
                <w:kern w:val="0"/>
                <w:sz w:val="24"/>
              </w:rPr>
              <w:instrText xml:space="preserve"> </w:instrTex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instrText xml:space="preserve">eq \o\ac(○,</w:instrText>
            </w:r>
            <w:r>
              <w:rPr>
                <w:rFonts w:hint="eastAsia" w:ascii="宋体" w:hAnsiTheme="majorEastAsia" w:eastAsiaTheme="majorEastAsia" w:cstheme="majorEastAsia"/>
                <w:kern w:val="0"/>
                <w:position w:val="3"/>
                <w:sz w:val="16"/>
              </w:rPr>
              <w:instrText xml:space="preserve">Ⅰ</w:instrTex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instrText xml:space="preserve">)</w:instrText>
            </w:r>
            <w:r>
              <w:rPr>
                <w:rFonts w:asciiTheme="majorEastAsia" w:hAnsiTheme="majorEastAsia" w:eastAsiaTheme="majorEastAsia" w:cstheme="majorEastAsia"/>
                <w:kern w:val="0"/>
                <w:sz w:val="24"/>
              </w:rPr>
              <w:fldChar w:fldCharType="end"/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级</w:t>
            </w:r>
          </w:p>
        </w:tc>
      </w:tr>
      <w:tr w14:paraId="039DE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68" w:type="dxa"/>
          </w:tcPr>
          <w:p w14:paraId="6A9F3CDF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全尺寸锥杆质量</w:t>
            </w:r>
          </w:p>
        </w:tc>
        <w:tc>
          <w:tcPr>
            <w:tcW w:w="3272" w:type="dxa"/>
          </w:tcPr>
          <w:p w14:paraId="68B6F543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（47.50±0.05）g</w:t>
            </w:r>
          </w:p>
        </w:tc>
        <w:tc>
          <w:tcPr>
            <w:tcW w:w="2946" w:type="dxa"/>
            <w:vMerge w:val="continue"/>
          </w:tcPr>
          <w:p w14:paraId="48C7CC94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 w14:paraId="030FA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68" w:type="dxa"/>
            <w:shd w:val="clear" w:color="auto" w:fill="auto"/>
          </w:tcPr>
          <w:p w14:paraId="7E9E0AEB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1/2比例锥体和锥杆总质量</w:t>
            </w:r>
          </w:p>
        </w:tc>
        <w:tc>
          <w:tcPr>
            <w:tcW w:w="3272" w:type="dxa"/>
            <w:shd w:val="clear" w:color="auto" w:fill="auto"/>
          </w:tcPr>
          <w:p w14:paraId="426342C2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（37.50±0.05）g</w:t>
            </w:r>
          </w:p>
        </w:tc>
        <w:tc>
          <w:tcPr>
            <w:tcW w:w="2946" w:type="dxa"/>
            <w:vMerge w:val="continue"/>
          </w:tcPr>
          <w:p w14:paraId="60AD5EE6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 w14:paraId="74D6F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68" w:type="dxa"/>
            <w:shd w:val="clear" w:color="auto" w:fill="auto"/>
          </w:tcPr>
          <w:p w14:paraId="22FA02C4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1/2比例锥体质量</w:t>
            </w:r>
          </w:p>
        </w:tc>
        <w:tc>
          <w:tcPr>
            <w:tcW w:w="3272" w:type="dxa"/>
            <w:shd w:val="clear" w:color="auto" w:fill="auto"/>
          </w:tcPr>
          <w:p w14:paraId="707D2498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（22.500±0.025）g</w:t>
            </w:r>
          </w:p>
        </w:tc>
        <w:tc>
          <w:tcPr>
            <w:tcW w:w="2946" w:type="dxa"/>
            <w:vMerge w:val="continue"/>
          </w:tcPr>
          <w:p w14:paraId="162534EC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 w14:paraId="5E03F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68" w:type="dxa"/>
            <w:shd w:val="clear" w:color="auto" w:fill="auto"/>
          </w:tcPr>
          <w:p w14:paraId="43291523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1/2比例锥杆质量</w:t>
            </w:r>
          </w:p>
        </w:tc>
        <w:tc>
          <w:tcPr>
            <w:tcW w:w="3272" w:type="dxa"/>
            <w:shd w:val="clear" w:color="auto" w:fill="auto"/>
          </w:tcPr>
          <w:p w14:paraId="205C8A7C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（15.000±0.025）g</w:t>
            </w:r>
          </w:p>
        </w:tc>
        <w:tc>
          <w:tcPr>
            <w:tcW w:w="2946" w:type="dxa"/>
            <w:vMerge w:val="continue"/>
          </w:tcPr>
          <w:p w14:paraId="274E27F1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 w14:paraId="50589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68" w:type="dxa"/>
            <w:shd w:val="clear" w:color="auto" w:fill="auto"/>
          </w:tcPr>
          <w:p w14:paraId="21080219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1/4比例锥体和锥杆总质量</w:t>
            </w:r>
          </w:p>
        </w:tc>
        <w:tc>
          <w:tcPr>
            <w:tcW w:w="3272" w:type="dxa"/>
            <w:shd w:val="clear" w:color="auto" w:fill="auto"/>
          </w:tcPr>
          <w:p w14:paraId="00E02719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4"/>
              </w:rPr>
              <w:t>（9.380±0.025）g</w:t>
            </w:r>
          </w:p>
        </w:tc>
        <w:tc>
          <w:tcPr>
            <w:tcW w:w="2946" w:type="dxa"/>
            <w:vMerge w:val="continue"/>
          </w:tcPr>
          <w:p w14:paraId="7FF675A7">
            <w:pPr>
              <w:pStyle w:val="35"/>
              <w:tabs>
                <w:tab w:val="left" w:pos="0"/>
              </w:tabs>
              <w:ind w:firstLine="0" w:firstLineChars="0"/>
              <w:jc w:val="center"/>
              <w:rPr>
                <w:rFonts w:asciiTheme="majorEastAsia" w:hAnsiTheme="majorEastAsia" w:eastAsiaTheme="majorEastAsia" w:cstheme="majorEastAsia"/>
                <w:kern w:val="0"/>
                <w:sz w:val="24"/>
              </w:rPr>
            </w:pPr>
          </w:p>
        </w:tc>
      </w:tr>
      <w:tr w14:paraId="13229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6" w:type="dxa"/>
            <w:gridSpan w:val="3"/>
          </w:tcPr>
          <w:p w14:paraId="3AF61A07">
            <w:pPr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注：以上指标不用于合格性判定，仅供参考，可使用满足要求的其它长度计量器具。</w:t>
            </w:r>
          </w:p>
        </w:tc>
      </w:tr>
    </w:tbl>
    <w:p w14:paraId="19AB7DFB">
      <w:pPr>
        <w:rPr>
          <w:rFonts w:asciiTheme="majorEastAsia" w:hAnsiTheme="majorEastAsia" w:eastAsiaTheme="majorEastAsia"/>
          <w:color w:val="FF0000"/>
          <w:sz w:val="24"/>
        </w:rPr>
      </w:pPr>
    </w:p>
    <w:p w14:paraId="694AAE37">
      <w:pPr>
        <w:rPr>
          <w:rFonts w:asciiTheme="majorEastAsia" w:hAnsiTheme="majorEastAsia" w:eastAsiaTheme="majorEastAsia"/>
          <w:sz w:val="24"/>
        </w:rPr>
      </w:pPr>
    </w:p>
    <w:p w14:paraId="1D8B87E0">
      <w:pPr>
        <w:rPr>
          <w:rFonts w:asciiTheme="majorEastAsia" w:hAnsiTheme="majorEastAsia" w:eastAsiaTheme="majorEastAsia"/>
          <w:sz w:val="24"/>
        </w:rPr>
      </w:pPr>
    </w:p>
    <w:p w14:paraId="616EED0A">
      <w:pPr>
        <w:rPr>
          <w:rFonts w:asciiTheme="majorEastAsia" w:hAnsiTheme="majorEastAsia" w:eastAsiaTheme="majorEastAsia"/>
          <w:sz w:val="24"/>
        </w:rPr>
      </w:pPr>
    </w:p>
    <w:p w14:paraId="0595D063">
      <w:pPr>
        <w:rPr>
          <w:rFonts w:asciiTheme="majorEastAsia" w:hAnsiTheme="majorEastAsia" w:eastAsiaTheme="majorEastAsia"/>
          <w:sz w:val="24"/>
        </w:rPr>
      </w:pPr>
    </w:p>
    <w:p w14:paraId="36EC6608">
      <w:pPr>
        <w:rPr>
          <w:rFonts w:asciiTheme="majorEastAsia" w:hAnsiTheme="majorEastAsia" w:eastAsiaTheme="majorEastAsia"/>
          <w:sz w:val="24"/>
        </w:rPr>
      </w:pPr>
    </w:p>
    <w:p w14:paraId="4DCFAC62">
      <w:pPr>
        <w:rPr>
          <w:rFonts w:asciiTheme="majorEastAsia" w:hAnsiTheme="majorEastAsia" w:eastAsiaTheme="majorEastAsia"/>
          <w:sz w:val="24"/>
        </w:rPr>
      </w:pPr>
    </w:p>
    <w:p w14:paraId="06889850">
      <w:pPr>
        <w:jc w:val="center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sz w:val="24"/>
        </w:rPr>
        <w:drawing>
          <wp:inline distT="0" distB="0" distL="0" distR="0">
            <wp:extent cx="3653790" cy="3599815"/>
            <wp:effectExtent l="0" t="0" r="3810" b="63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540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A6A7FD">
      <w:pPr>
        <w:jc w:val="center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图A.2 全尺寸锥体几何参数（单位：mm）</w:t>
      </w:r>
    </w:p>
    <w:p w14:paraId="77F4DD8F">
      <w:pPr>
        <w:jc w:val="center"/>
        <w:rPr>
          <w:rFonts w:asciiTheme="majorEastAsia" w:hAnsiTheme="majorEastAsia" w:eastAsiaTheme="majorEastAsia"/>
          <w:b/>
          <w:sz w:val="24"/>
        </w:rPr>
      </w:pPr>
      <w:r>
        <w:rPr>
          <w:rFonts w:asciiTheme="majorEastAsia" w:hAnsiTheme="majorEastAsia" w:eastAsiaTheme="majorEastAsia"/>
          <w:sz w:val="24"/>
        </w:rPr>
        <w:drawing>
          <wp:inline distT="0" distB="0" distL="0" distR="0">
            <wp:extent cx="3156585" cy="3599815"/>
            <wp:effectExtent l="0" t="0" r="5715" b="63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572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81A036">
      <w:pPr>
        <w:jc w:val="center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 w:cstheme="majorEastAsia"/>
          <w:kern w:val="0"/>
          <w:sz w:val="24"/>
        </w:rPr>
        <w:t>图A.3 1/2比例锥体几何参数</w:t>
      </w:r>
      <w:r>
        <w:rPr>
          <w:rFonts w:hint="eastAsia" w:asciiTheme="majorEastAsia" w:hAnsiTheme="majorEastAsia" w:eastAsiaTheme="majorEastAsia"/>
          <w:sz w:val="24"/>
        </w:rPr>
        <w:t>（单位：mm）</w:t>
      </w:r>
    </w:p>
    <w:p w14:paraId="373C0D36">
      <w:pPr>
        <w:rPr>
          <w:rFonts w:asciiTheme="majorEastAsia" w:hAnsiTheme="majorEastAsia" w:eastAsiaTheme="majorEastAsia"/>
          <w:b/>
          <w:sz w:val="24"/>
        </w:rPr>
      </w:pPr>
    </w:p>
    <w:p w14:paraId="521513B7">
      <w:pPr>
        <w:rPr>
          <w:rFonts w:asciiTheme="majorEastAsia" w:hAnsiTheme="majorEastAsia" w:eastAsiaTheme="majorEastAsia"/>
          <w:b/>
          <w:sz w:val="24"/>
        </w:rPr>
      </w:pPr>
    </w:p>
    <w:p w14:paraId="4486DDB2">
      <w:pPr>
        <w:rPr>
          <w:rFonts w:asciiTheme="majorEastAsia" w:hAnsiTheme="majorEastAsia" w:eastAsiaTheme="majorEastAsia"/>
          <w:b/>
          <w:sz w:val="24"/>
        </w:rPr>
      </w:pPr>
    </w:p>
    <w:p w14:paraId="78A24E6E">
      <w:pPr>
        <w:rPr>
          <w:rFonts w:asciiTheme="majorEastAsia" w:hAnsiTheme="majorEastAsia" w:eastAsiaTheme="majorEastAsia"/>
          <w:b/>
          <w:sz w:val="24"/>
        </w:rPr>
      </w:pPr>
    </w:p>
    <w:p w14:paraId="540D03C9">
      <w:pPr>
        <w:jc w:val="center"/>
        <w:rPr>
          <w:rFonts w:asciiTheme="majorEastAsia" w:hAnsiTheme="majorEastAsia" w:eastAsiaTheme="majorEastAsia"/>
          <w:b/>
          <w:sz w:val="24"/>
        </w:rPr>
      </w:pPr>
      <w:r>
        <w:rPr>
          <w:rFonts w:asciiTheme="majorEastAsia" w:hAnsiTheme="majorEastAsia" w:eastAsiaTheme="majorEastAsia"/>
          <w:sz w:val="24"/>
        </w:rPr>
        <w:drawing>
          <wp:inline distT="0" distB="0" distL="0" distR="0">
            <wp:extent cx="3095625" cy="3599815"/>
            <wp:effectExtent l="0" t="0" r="9525" b="63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960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5C9FE4">
      <w:pPr>
        <w:jc w:val="center"/>
        <w:rPr>
          <w:rFonts w:eastAsia="黑体"/>
          <w:b/>
          <w:sz w:val="28"/>
          <w:szCs w:val="28"/>
        </w:rPr>
      </w:pPr>
      <w:r>
        <w:rPr>
          <w:rFonts w:hint="eastAsia" w:asciiTheme="majorEastAsia" w:hAnsiTheme="majorEastAsia" w:eastAsiaTheme="majorEastAsia"/>
          <w:sz w:val="24"/>
        </w:rPr>
        <w:t>图A.4 1/4比例锥体几何参数（单位：mm）</w:t>
      </w:r>
    </w:p>
    <w:p w14:paraId="32D163E2">
      <w:pPr>
        <w:rPr>
          <w:rFonts w:eastAsia="黑体"/>
          <w:b/>
          <w:sz w:val="28"/>
          <w:szCs w:val="28"/>
        </w:rPr>
      </w:pPr>
    </w:p>
    <w:p w14:paraId="3C3FC973">
      <w:pPr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附录</w:t>
      </w:r>
      <w:r>
        <w:rPr>
          <w:rFonts w:hint="eastAsia" w:eastAsia="黑体"/>
          <w:b/>
          <w:sz w:val="28"/>
          <w:szCs w:val="28"/>
        </w:rPr>
        <w:t>B</w:t>
      </w:r>
    </w:p>
    <w:p w14:paraId="05EAF9CA">
      <w:pPr>
        <w:jc w:val="center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校准原始记录格式</w:t>
      </w:r>
    </w:p>
    <w:tbl>
      <w:tblPr>
        <w:tblStyle w:val="19"/>
        <w:tblW w:w="104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4"/>
        <w:gridCol w:w="791"/>
        <w:gridCol w:w="518"/>
        <w:gridCol w:w="1304"/>
        <w:gridCol w:w="273"/>
        <w:gridCol w:w="1034"/>
        <w:gridCol w:w="1061"/>
        <w:gridCol w:w="274"/>
        <w:gridCol w:w="1309"/>
        <w:gridCol w:w="512"/>
        <w:gridCol w:w="792"/>
        <w:gridCol w:w="1304"/>
      </w:tblGrid>
      <w:tr w14:paraId="0CD29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304" w:type="dxa"/>
            <w:vAlign w:val="center"/>
          </w:tcPr>
          <w:p w14:paraId="369011C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仪器名称</w:t>
            </w:r>
          </w:p>
        </w:tc>
        <w:tc>
          <w:tcPr>
            <w:tcW w:w="3920" w:type="dxa"/>
            <w:gridSpan w:val="5"/>
            <w:vAlign w:val="center"/>
          </w:tcPr>
          <w:p w14:paraId="54C3135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35" w:type="dxa"/>
            <w:gridSpan w:val="2"/>
            <w:vAlign w:val="center"/>
          </w:tcPr>
          <w:p w14:paraId="5928028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制造单位</w:t>
            </w:r>
          </w:p>
        </w:tc>
        <w:tc>
          <w:tcPr>
            <w:tcW w:w="3917" w:type="dxa"/>
            <w:gridSpan w:val="4"/>
            <w:vAlign w:val="center"/>
          </w:tcPr>
          <w:p w14:paraId="648D020C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15EEA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304" w:type="dxa"/>
            <w:vAlign w:val="center"/>
          </w:tcPr>
          <w:p w14:paraId="7A00ED6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委托单位</w:t>
            </w:r>
          </w:p>
        </w:tc>
        <w:tc>
          <w:tcPr>
            <w:tcW w:w="3920" w:type="dxa"/>
            <w:gridSpan w:val="5"/>
            <w:vAlign w:val="center"/>
          </w:tcPr>
          <w:p w14:paraId="40E9CF64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35" w:type="dxa"/>
            <w:gridSpan w:val="2"/>
            <w:vAlign w:val="center"/>
          </w:tcPr>
          <w:p w14:paraId="31F2577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校准地点</w:t>
            </w:r>
          </w:p>
        </w:tc>
        <w:tc>
          <w:tcPr>
            <w:tcW w:w="3917" w:type="dxa"/>
            <w:gridSpan w:val="4"/>
            <w:vAlign w:val="center"/>
          </w:tcPr>
          <w:p w14:paraId="501187E2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76FC1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304" w:type="dxa"/>
            <w:vAlign w:val="center"/>
          </w:tcPr>
          <w:p w14:paraId="168B818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型号规格</w:t>
            </w:r>
          </w:p>
        </w:tc>
        <w:tc>
          <w:tcPr>
            <w:tcW w:w="1309" w:type="dxa"/>
            <w:gridSpan w:val="2"/>
            <w:vAlign w:val="center"/>
          </w:tcPr>
          <w:p w14:paraId="119A04B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04" w:type="dxa"/>
            <w:vAlign w:val="center"/>
          </w:tcPr>
          <w:p w14:paraId="3EDD0EA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仪器编号</w:t>
            </w:r>
          </w:p>
        </w:tc>
        <w:tc>
          <w:tcPr>
            <w:tcW w:w="1307" w:type="dxa"/>
            <w:gridSpan w:val="2"/>
            <w:vAlign w:val="center"/>
          </w:tcPr>
          <w:p w14:paraId="746F324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35" w:type="dxa"/>
            <w:gridSpan w:val="2"/>
            <w:vAlign w:val="center"/>
          </w:tcPr>
          <w:p w14:paraId="26EEBCA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证书编号</w:t>
            </w:r>
          </w:p>
        </w:tc>
        <w:tc>
          <w:tcPr>
            <w:tcW w:w="1309" w:type="dxa"/>
            <w:vAlign w:val="center"/>
          </w:tcPr>
          <w:p w14:paraId="2E49EEB8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04" w:type="dxa"/>
            <w:gridSpan w:val="2"/>
            <w:vAlign w:val="center"/>
          </w:tcPr>
          <w:p w14:paraId="307C18F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校准日期</w:t>
            </w:r>
          </w:p>
        </w:tc>
        <w:tc>
          <w:tcPr>
            <w:tcW w:w="1304" w:type="dxa"/>
            <w:vAlign w:val="center"/>
          </w:tcPr>
          <w:p w14:paraId="4C9262C4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3052F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304" w:type="dxa"/>
            <w:vAlign w:val="center"/>
          </w:tcPr>
          <w:p w14:paraId="2EBF7866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环境温度</w:t>
            </w:r>
          </w:p>
        </w:tc>
        <w:tc>
          <w:tcPr>
            <w:tcW w:w="1309" w:type="dxa"/>
            <w:gridSpan w:val="2"/>
            <w:vAlign w:val="center"/>
          </w:tcPr>
          <w:p w14:paraId="58E4132C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℃</w:t>
            </w:r>
          </w:p>
        </w:tc>
        <w:tc>
          <w:tcPr>
            <w:tcW w:w="1304" w:type="dxa"/>
            <w:vAlign w:val="center"/>
          </w:tcPr>
          <w:p w14:paraId="7D7575E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相对湿度</w:t>
            </w:r>
          </w:p>
        </w:tc>
        <w:tc>
          <w:tcPr>
            <w:tcW w:w="1307" w:type="dxa"/>
            <w:gridSpan w:val="2"/>
            <w:vAlign w:val="center"/>
          </w:tcPr>
          <w:p w14:paraId="54E03680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%</w:t>
            </w:r>
          </w:p>
        </w:tc>
        <w:tc>
          <w:tcPr>
            <w:tcW w:w="1335" w:type="dxa"/>
            <w:gridSpan w:val="2"/>
            <w:vAlign w:val="center"/>
          </w:tcPr>
          <w:p w14:paraId="74AE4BA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校 准 员</w:t>
            </w:r>
          </w:p>
        </w:tc>
        <w:tc>
          <w:tcPr>
            <w:tcW w:w="1309" w:type="dxa"/>
            <w:vAlign w:val="center"/>
          </w:tcPr>
          <w:p w14:paraId="78CF1DE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304" w:type="dxa"/>
            <w:gridSpan w:val="2"/>
            <w:vAlign w:val="center"/>
          </w:tcPr>
          <w:p w14:paraId="1EDCA861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核 验 员</w:t>
            </w:r>
          </w:p>
        </w:tc>
        <w:tc>
          <w:tcPr>
            <w:tcW w:w="1304" w:type="dxa"/>
            <w:vAlign w:val="center"/>
          </w:tcPr>
          <w:p w14:paraId="2FB66682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60ABB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5224" w:type="dxa"/>
            <w:gridSpan w:val="6"/>
            <w:vAlign w:val="center"/>
          </w:tcPr>
          <w:p w14:paraId="76233DD6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技术依据</w:t>
            </w:r>
          </w:p>
        </w:tc>
        <w:tc>
          <w:tcPr>
            <w:tcW w:w="5252" w:type="dxa"/>
            <w:gridSpan w:val="6"/>
            <w:vAlign w:val="center"/>
          </w:tcPr>
          <w:p w14:paraId="73913957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259C2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095" w:type="dxa"/>
            <w:gridSpan w:val="2"/>
            <w:vAlign w:val="center"/>
          </w:tcPr>
          <w:p w14:paraId="6F27444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所使用标准器</w:t>
            </w:r>
          </w:p>
          <w:p w14:paraId="7F292F4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及主要配套设备</w:t>
            </w:r>
          </w:p>
        </w:tc>
        <w:tc>
          <w:tcPr>
            <w:tcW w:w="2095" w:type="dxa"/>
            <w:gridSpan w:val="3"/>
            <w:vAlign w:val="center"/>
          </w:tcPr>
          <w:p w14:paraId="1ED31A2C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型号</w:t>
            </w:r>
          </w:p>
        </w:tc>
        <w:tc>
          <w:tcPr>
            <w:tcW w:w="2095" w:type="dxa"/>
            <w:gridSpan w:val="2"/>
            <w:vAlign w:val="center"/>
          </w:tcPr>
          <w:p w14:paraId="6D5CDB6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编号</w:t>
            </w:r>
          </w:p>
        </w:tc>
        <w:tc>
          <w:tcPr>
            <w:tcW w:w="2095" w:type="dxa"/>
            <w:gridSpan w:val="3"/>
            <w:vAlign w:val="center"/>
          </w:tcPr>
          <w:p w14:paraId="2150245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证书号</w:t>
            </w:r>
          </w:p>
        </w:tc>
        <w:tc>
          <w:tcPr>
            <w:tcW w:w="2096" w:type="dxa"/>
            <w:gridSpan w:val="2"/>
            <w:vAlign w:val="center"/>
          </w:tcPr>
          <w:p w14:paraId="17FFEB47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有效日期</w:t>
            </w:r>
          </w:p>
        </w:tc>
      </w:tr>
      <w:tr w14:paraId="346B5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95" w:type="dxa"/>
            <w:gridSpan w:val="2"/>
            <w:vAlign w:val="center"/>
          </w:tcPr>
          <w:p w14:paraId="38B8D47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95" w:type="dxa"/>
            <w:gridSpan w:val="3"/>
            <w:vAlign w:val="center"/>
          </w:tcPr>
          <w:p w14:paraId="0F6B3399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95" w:type="dxa"/>
            <w:gridSpan w:val="2"/>
            <w:vAlign w:val="center"/>
          </w:tcPr>
          <w:p w14:paraId="1BCB8973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95" w:type="dxa"/>
            <w:gridSpan w:val="3"/>
            <w:vAlign w:val="center"/>
          </w:tcPr>
          <w:p w14:paraId="6B9E3C5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96" w:type="dxa"/>
            <w:gridSpan w:val="2"/>
            <w:vAlign w:val="center"/>
          </w:tcPr>
          <w:p w14:paraId="7FCAA8D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25515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95" w:type="dxa"/>
            <w:gridSpan w:val="2"/>
            <w:vAlign w:val="center"/>
          </w:tcPr>
          <w:p w14:paraId="2114196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95" w:type="dxa"/>
            <w:gridSpan w:val="3"/>
            <w:vAlign w:val="center"/>
          </w:tcPr>
          <w:p w14:paraId="49AAA6A9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95" w:type="dxa"/>
            <w:gridSpan w:val="2"/>
            <w:vAlign w:val="center"/>
          </w:tcPr>
          <w:p w14:paraId="50925EF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95" w:type="dxa"/>
            <w:gridSpan w:val="3"/>
            <w:vAlign w:val="center"/>
          </w:tcPr>
          <w:p w14:paraId="06F92DA3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96" w:type="dxa"/>
            <w:gridSpan w:val="2"/>
            <w:vAlign w:val="center"/>
          </w:tcPr>
          <w:p w14:paraId="28B90072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0D31B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95" w:type="dxa"/>
            <w:gridSpan w:val="2"/>
            <w:vAlign w:val="center"/>
          </w:tcPr>
          <w:p w14:paraId="772F2ED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95" w:type="dxa"/>
            <w:gridSpan w:val="3"/>
            <w:vAlign w:val="center"/>
          </w:tcPr>
          <w:p w14:paraId="1C6FBFB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95" w:type="dxa"/>
            <w:gridSpan w:val="2"/>
            <w:vAlign w:val="center"/>
          </w:tcPr>
          <w:p w14:paraId="7981FB3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95" w:type="dxa"/>
            <w:gridSpan w:val="3"/>
            <w:vAlign w:val="center"/>
          </w:tcPr>
          <w:p w14:paraId="43CDCA0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2096" w:type="dxa"/>
            <w:gridSpan w:val="2"/>
            <w:vAlign w:val="center"/>
          </w:tcPr>
          <w:p w14:paraId="73EC65D3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14:paraId="30AF2872">
      <w:pPr>
        <w:rPr>
          <w:sz w:val="24"/>
        </w:rPr>
      </w:pPr>
      <w:r>
        <w:rPr>
          <w:rFonts w:hint="eastAsia"/>
          <w:sz w:val="24"/>
        </w:rPr>
        <w:t>校准项目、内容及数据处理</w:t>
      </w:r>
    </w:p>
    <w:tbl>
      <w:tblPr>
        <w:tblStyle w:val="19"/>
        <w:tblW w:w="104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6"/>
        <w:gridCol w:w="873"/>
        <w:gridCol w:w="109"/>
        <w:gridCol w:w="589"/>
        <w:gridCol w:w="175"/>
        <w:gridCol w:w="218"/>
        <w:gridCol w:w="655"/>
        <w:gridCol w:w="327"/>
        <w:gridCol w:w="197"/>
        <w:gridCol w:w="349"/>
        <w:gridCol w:w="437"/>
        <w:gridCol w:w="436"/>
        <w:gridCol w:w="349"/>
        <w:gridCol w:w="197"/>
        <w:gridCol w:w="982"/>
        <w:gridCol w:w="218"/>
        <w:gridCol w:w="175"/>
        <w:gridCol w:w="589"/>
        <w:gridCol w:w="985"/>
      </w:tblGrid>
      <w:tr w14:paraId="0167C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16" w:type="dxa"/>
            <w:vAlign w:val="center"/>
          </w:tcPr>
          <w:p w14:paraId="264A9BC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温度偏差</w:t>
            </w:r>
          </w:p>
        </w:tc>
        <w:tc>
          <w:tcPr>
            <w:tcW w:w="4365" w:type="dxa"/>
            <w:gridSpan w:val="11"/>
            <w:vAlign w:val="center"/>
          </w:tcPr>
          <w:p w14:paraId="7B731E1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示值（℃）</w:t>
            </w:r>
          </w:p>
        </w:tc>
        <w:tc>
          <w:tcPr>
            <w:tcW w:w="1746" w:type="dxa"/>
            <w:gridSpan w:val="4"/>
            <w:vMerge w:val="restart"/>
            <w:vAlign w:val="center"/>
          </w:tcPr>
          <w:p w14:paraId="6C1B99B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上偏差</w:t>
            </w:r>
          </w:p>
          <w:p w14:paraId="5856FD5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（℃）</w:t>
            </w:r>
          </w:p>
        </w:tc>
        <w:tc>
          <w:tcPr>
            <w:tcW w:w="1749" w:type="dxa"/>
            <w:gridSpan w:val="3"/>
            <w:vMerge w:val="restart"/>
            <w:vAlign w:val="center"/>
          </w:tcPr>
          <w:p w14:paraId="4931B0A7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下偏差</w:t>
            </w:r>
          </w:p>
          <w:p w14:paraId="5A4C60C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（℃）</w:t>
            </w:r>
          </w:p>
        </w:tc>
      </w:tr>
      <w:tr w14:paraId="745EC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16" w:type="dxa"/>
            <w:vAlign w:val="center"/>
          </w:tcPr>
          <w:p w14:paraId="2FEE814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设定值（℃）</w:t>
            </w:r>
          </w:p>
        </w:tc>
        <w:tc>
          <w:tcPr>
            <w:tcW w:w="873" w:type="dxa"/>
            <w:vAlign w:val="center"/>
          </w:tcPr>
          <w:p w14:paraId="19B3E757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左上</w:t>
            </w:r>
          </w:p>
        </w:tc>
        <w:tc>
          <w:tcPr>
            <w:tcW w:w="873" w:type="dxa"/>
            <w:gridSpan w:val="3"/>
            <w:vAlign w:val="center"/>
          </w:tcPr>
          <w:p w14:paraId="1E47EB0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左下</w:t>
            </w:r>
          </w:p>
        </w:tc>
        <w:tc>
          <w:tcPr>
            <w:tcW w:w="873" w:type="dxa"/>
            <w:gridSpan w:val="2"/>
            <w:vAlign w:val="center"/>
          </w:tcPr>
          <w:p w14:paraId="018C2206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右上</w:t>
            </w:r>
          </w:p>
        </w:tc>
        <w:tc>
          <w:tcPr>
            <w:tcW w:w="873" w:type="dxa"/>
            <w:gridSpan w:val="3"/>
            <w:vAlign w:val="center"/>
          </w:tcPr>
          <w:p w14:paraId="2C6C654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右下</w:t>
            </w:r>
          </w:p>
        </w:tc>
        <w:tc>
          <w:tcPr>
            <w:tcW w:w="873" w:type="dxa"/>
            <w:gridSpan w:val="2"/>
            <w:vAlign w:val="center"/>
          </w:tcPr>
          <w:p w14:paraId="344F32F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中心</w:t>
            </w:r>
          </w:p>
        </w:tc>
        <w:tc>
          <w:tcPr>
            <w:tcW w:w="1746" w:type="dxa"/>
            <w:gridSpan w:val="4"/>
            <w:vMerge w:val="continue"/>
            <w:vAlign w:val="center"/>
          </w:tcPr>
          <w:p w14:paraId="3261A2B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49" w:type="dxa"/>
            <w:gridSpan w:val="3"/>
            <w:vMerge w:val="continue"/>
            <w:vAlign w:val="center"/>
          </w:tcPr>
          <w:p w14:paraId="7273C742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3DCF5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16" w:type="dxa"/>
            <w:vAlign w:val="center"/>
          </w:tcPr>
          <w:p w14:paraId="659CB6A9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73" w:type="dxa"/>
            <w:vAlign w:val="center"/>
          </w:tcPr>
          <w:p w14:paraId="36252379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73" w:type="dxa"/>
            <w:gridSpan w:val="3"/>
            <w:vAlign w:val="center"/>
          </w:tcPr>
          <w:p w14:paraId="4A139BCE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18E82D53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73" w:type="dxa"/>
            <w:gridSpan w:val="3"/>
            <w:vAlign w:val="center"/>
          </w:tcPr>
          <w:p w14:paraId="5B3D340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6942A509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46" w:type="dxa"/>
            <w:gridSpan w:val="4"/>
            <w:vAlign w:val="center"/>
          </w:tcPr>
          <w:p w14:paraId="039B418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49" w:type="dxa"/>
            <w:gridSpan w:val="3"/>
            <w:vAlign w:val="center"/>
          </w:tcPr>
          <w:p w14:paraId="0B02D9DD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38566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16" w:type="dxa"/>
            <w:vAlign w:val="center"/>
          </w:tcPr>
          <w:p w14:paraId="614E201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73" w:type="dxa"/>
            <w:vAlign w:val="center"/>
          </w:tcPr>
          <w:p w14:paraId="4A359CE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73" w:type="dxa"/>
            <w:gridSpan w:val="3"/>
            <w:vAlign w:val="center"/>
          </w:tcPr>
          <w:p w14:paraId="13B5DBC8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0019D22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73" w:type="dxa"/>
            <w:gridSpan w:val="3"/>
            <w:vAlign w:val="center"/>
          </w:tcPr>
          <w:p w14:paraId="40214413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37CB003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46" w:type="dxa"/>
            <w:gridSpan w:val="4"/>
            <w:vAlign w:val="center"/>
          </w:tcPr>
          <w:p w14:paraId="5B20F60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49" w:type="dxa"/>
            <w:gridSpan w:val="3"/>
            <w:vAlign w:val="center"/>
          </w:tcPr>
          <w:p w14:paraId="68D39D72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75EC8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16" w:type="dxa"/>
            <w:vAlign w:val="center"/>
          </w:tcPr>
          <w:p w14:paraId="7EFDE813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73" w:type="dxa"/>
            <w:vAlign w:val="center"/>
          </w:tcPr>
          <w:p w14:paraId="39E4F8F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73" w:type="dxa"/>
            <w:gridSpan w:val="3"/>
            <w:vAlign w:val="center"/>
          </w:tcPr>
          <w:p w14:paraId="4BBAACEB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08EBED3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73" w:type="dxa"/>
            <w:gridSpan w:val="3"/>
            <w:vAlign w:val="center"/>
          </w:tcPr>
          <w:p w14:paraId="4370E804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0DF514B8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46" w:type="dxa"/>
            <w:gridSpan w:val="4"/>
            <w:vAlign w:val="center"/>
          </w:tcPr>
          <w:p w14:paraId="168692E9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49" w:type="dxa"/>
            <w:gridSpan w:val="3"/>
            <w:vAlign w:val="center"/>
          </w:tcPr>
          <w:p w14:paraId="63E1B7B8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6C2DF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16" w:type="dxa"/>
            <w:vAlign w:val="center"/>
          </w:tcPr>
          <w:p w14:paraId="2486954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73" w:type="dxa"/>
            <w:vAlign w:val="center"/>
          </w:tcPr>
          <w:p w14:paraId="28E3747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73" w:type="dxa"/>
            <w:gridSpan w:val="3"/>
            <w:vAlign w:val="center"/>
          </w:tcPr>
          <w:p w14:paraId="6A4CD06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6ABCA01A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73" w:type="dxa"/>
            <w:gridSpan w:val="3"/>
            <w:vAlign w:val="center"/>
          </w:tcPr>
          <w:p w14:paraId="7DDBD20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5EE73CD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46" w:type="dxa"/>
            <w:gridSpan w:val="4"/>
            <w:vAlign w:val="center"/>
          </w:tcPr>
          <w:p w14:paraId="555FDC63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49" w:type="dxa"/>
            <w:gridSpan w:val="3"/>
            <w:vAlign w:val="center"/>
          </w:tcPr>
          <w:p w14:paraId="3E294E2C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0C960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16" w:type="dxa"/>
            <w:vAlign w:val="center"/>
          </w:tcPr>
          <w:p w14:paraId="295FE9A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73" w:type="dxa"/>
            <w:vAlign w:val="center"/>
          </w:tcPr>
          <w:p w14:paraId="5F0445C8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73" w:type="dxa"/>
            <w:gridSpan w:val="3"/>
            <w:vAlign w:val="center"/>
          </w:tcPr>
          <w:p w14:paraId="0F55F348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64062D18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73" w:type="dxa"/>
            <w:gridSpan w:val="3"/>
            <w:vAlign w:val="center"/>
          </w:tcPr>
          <w:p w14:paraId="434A2CE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873" w:type="dxa"/>
            <w:gridSpan w:val="2"/>
            <w:vAlign w:val="center"/>
          </w:tcPr>
          <w:p w14:paraId="22EFBE49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46" w:type="dxa"/>
            <w:gridSpan w:val="4"/>
            <w:vAlign w:val="center"/>
          </w:tcPr>
          <w:p w14:paraId="5441077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49" w:type="dxa"/>
            <w:gridSpan w:val="3"/>
            <w:vAlign w:val="center"/>
          </w:tcPr>
          <w:p w14:paraId="54EE8E59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4FEED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16" w:type="dxa"/>
            <w:vAlign w:val="center"/>
          </w:tcPr>
          <w:p w14:paraId="0B4B7E87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计时误差</w:t>
            </w:r>
          </w:p>
        </w:tc>
        <w:tc>
          <w:tcPr>
            <w:tcW w:w="4714" w:type="dxa"/>
            <w:gridSpan w:val="12"/>
            <w:vAlign w:val="center"/>
          </w:tcPr>
          <w:p w14:paraId="5F1D711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测量值（s）</w:t>
            </w:r>
          </w:p>
        </w:tc>
        <w:tc>
          <w:tcPr>
            <w:tcW w:w="1572" w:type="dxa"/>
            <w:gridSpan w:val="4"/>
            <w:vMerge w:val="restart"/>
            <w:vAlign w:val="center"/>
          </w:tcPr>
          <w:p w14:paraId="5AF6E0B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平均值</w:t>
            </w:r>
          </w:p>
          <w:p w14:paraId="194B0F8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（s）</w:t>
            </w:r>
          </w:p>
        </w:tc>
        <w:tc>
          <w:tcPr>
            <w:tcW w:w="1574" w:type="dxa"/>
            <w:gridSpan w:val="2"/>
            <w:vMerge w:val="restart"/>
            <w:vAlign w:val="center"/>
          </w:tcPr>
          <w:p w14:paraId="1402355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示值误差</w:t>
            </w:r>
          </w:p>
          <w:p w14:paraId="4A167F38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（s）</w:t>
            </w:r>
          </w:p>
        </w:tc>
      </w:tr>
      <w:tr w14:paraId="40280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16" w:type="dxa"/>
            <w:vAlign w:val="center"/>
          </w:tcPr>
          <w:p w14:paraId="30318BA1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设定值（s）</w:t>
            </w:r>
          </w:p>
        </w:tc>
        <w:tc>
          <w:tcPr>
            <w:tcW w:w="1571" w:type="dxa"/>
            <w:gridSpan w:val="3"/>
            <w:vAlign w:val="center"/>
          </w:tcPr>
          <w:p w14:paraId="71A2912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1572" w:type="dxa"/>
            <w:gridSpan w:val="5"/>
            <w:vAlign w:val="center"/>
          </w:tcPr>
          <w:p w14:paraId="7780A12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1571" w:type="dxa"/>
            <w:gridSpan w:val="4"/>
            <w:vAlign w:val="center"/>
          </w:tcPr>
          <w:p w14:paraId="10443E2A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1572" w:type="dxa"/>
            <w:gridSpan w:val="4"/>
            <w:vMerge w:val="continue"/>
            <w:vAlign w:val="center"/>
          </w:tcPr>
          <w:p w14:paraId="6F12739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4" w:type="dxa"/>
            <w:gridSpan w:val="2"/>
            <w:vMerge w:val="continue"/>
            <w:vAlign w:val="center"/>
          </w:tcPr>
          <w:p w14:paraId="06CAF6C2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4449E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16" w:type="dxa"/>
            <w:vAlign w:val="center"/>
          </w:tcPr>
          <w:p w14:paraId="2299F1F0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1" w:type="dxa"/>
            <w:gridSpan w:val="3"/>
            <w:vAlign w:val="center"/>
          </w:tcPr>
          <w:p w14:paraId="35966421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2" w:type="dxa"/>
            <w:gridSpan w:val="5"/>
            <w:vAlign w:val="center"/>
          </w:tcPr>
          <w:p w14:paraId="1C5DCE90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1" w:type="dxa"/>
            <w:gridSpan w:val="4"/>
            <w:vAlign w:val="center"/>
          </w:tcPr>
          <w:p w14:paraId="0FFEA33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2" w:type="dxa"/>
            <w:gridSpan w:val="4"/>
            <w:vAlign w:val="center"/>
          </w:tcPr>
          <w:p w14:paraId="20E731F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4" w:type="dxa"/>
            <w:gridSpan w:val="2"/>
            <w:vAlign w:val="center"/>
          </w:tcPr>
          <w:p w14:paraId="5DF38EC6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0C8FA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16" w:type="dxa"/>
            <w:vAlign w:val="center"/>
          </w:tcPr>
          <w:p w14:paraId="47A12537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1" w:type="dxa"/>
            <w:gridSpan w:val="3"/>
            <w:vAlign w:val="center"/>
          </w:tcPr>
          <w:p w14:paraId="7136DA4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2" w:type="dxa"/>
            <w:gridSpan w:val="5"/>
            <w:vAlign w:val="center"/>
          </w:tcPr>
          <w:p w14:paraId="23F52B18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1" w:type="dxa"/>
            <w:gridSpan w:val="4"/>
            <w:vAlign w:val="center"/>
          </w:tcPr>
          <w:p w14:paraId="12D3038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2" w:type="dxa"/>
            <w:gridSpan w:val="4"/>
            <w:vAlign w:val="center"/>
          </w:tcPr>
          <w:p w14:paraId="1A3C792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4" w:type="dxa"/>
            <w:gridSpan w:val="2"/>
            <w:vAlign w:val="center"/>
          </w:tcPr>
          <w:p w14:paraId="2CC2F774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63FB6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2616" w:type="dxa"/>
            <w:vAlign w:val="center"/>
          </w:tcPr>
          <w:p w14:paraId="0ABD0AA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针（锥）入度示值误差</w:t>
            </w:r>
          </w:p>
        </w:tc>
        <w:tc>
          <w:tcPr>
            <w:tcW w:w="4714" w:type="dxa"/>
            <w:gridSpan w:val="12"/>
            <w:vAlign w:val="center"/>
          </w:tcPr>
          <w:p w14:paraId="394E87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示值（针（锥）入度）</w:t>
            </w:r>
          </w:p>
        </w:tc>
        <w:tc>
          <w:tcPr>
            <w:tcW w:w="1572" w:type="dxa"/>
            <w:gridSpan w:val="4"/>
            <w:vMerge w:val="restart"/>
            <w:vAlign w:val="center"/>
          </w:tcPr>
          <w:p w14:paraId="0D968D9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平均值</w:t>
            </w:r>
          </w:p>
          <w:p w14:paraId="0ACEB418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（针入度）</w:t>
            </w:r>
          </w:p>
        </w:tc>
        <w:tc>
          <w:tcPr>
            <w:tcW w:w="1574" w:type="dxa"/>
            <w:gridSpan w:val="2"/>
            <w:vMerge w:val="restart"/>
            <w:vAlign w:val="center"/>
          </w:tcPr>
          <w:p w14:paraId="53D67A58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示值误差</w:t>
            </w:r>
          </w:p>
          <w:p w14:paraId="507D36A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（针入度）</w:t>
            </w:r>
          </w:p>
        </w:tc>
      </w:tr>
      <w:tr w14:paraId="4C293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  <w:jc w:val="center"/>
        </w:trPr>
        <w:tc>
          <w:tcPr>
            <w:tcW w:w="2616" w:type="dxa"/>
            <w:vAlign w:val="center"/>
          </w:tcPr>
          <w:p w14:paraId="55C83A76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标称值（针（锥）入度）</w:t>
            </w:r>
          </w:p>
        </w:tc>
        <w:tc>
          <w:tcPr>
            <w:tcW w:w="1571" w:type="dxa"/>
            <w:gridSpan w:val="3"/>
            <w:vAlign w:val="center"/>
          </w:tcPr>
          <w:p w14:paraId="0DFD207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1572" w:type="dxa"/>
            <w:gridSpan w:val="5"/>
            <w:vAlign w:val="center"/>
          </w:tcPr>
          <w:p w14:paraId="2ED685BB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1571" w:type="dxa"/>
            <w:gridSpan w:val="4"/>
            <w:vAlign w:val="center"/>
          </w:tcPr>
          <w:p w14:paraId="4E07E01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1572" w:type="dxa"/>
            <w:gridSpan w:val="4"/>
            <w:vMerge w:val="continue"/>
            <w:vAlign w:val="center"/>
          </w:tcPr>
          <w:p w14:paraId="06783CC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4" w:type="dxa"/>
            <w:gridSpan w:val="2"/>
            <w:vMerge w:val="continue"/>
            <w:vAlign w:val="center"/>
          </w:tcPr>
          <w:p w14:paraId="2C3CE519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0CE3B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16" w:type="dxa"/>
            <w:vAlign w:val="center"/>
          </w:tcPr>
          <w:p w14:paraId="6250B28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1" w:type="dxa"/>
            <w:gridSpan w:val="3"/>
            <w:vAlign w:val="center"/>
          </w:tcPr>
          <w:p w14:paraId="46092804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2" w:type="dxa"/>
            <w:gridSpan w:val="5"/>
            <w:vAlign w:val="center"/>
          </w:tcPr>
          <w:p w14:paraId="6ABC491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1" w:type="dxa"/>
            <w:gridSpan w:val="4"/>
            <w:vAlign w:val="center"/>
          </w:tcPr>
          <w:p w14:paraId="657DA99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2" w:type="dxa"/>
            <w:gridSpan w:val="4"/>
            <w:vAlign w:val="center"/>
          </w:tcPr>
          <w:p w14:paraId="54797A8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4" w:type="dxa"/>
            <w:gridSpan w:val="2"/>
            <w:vAlign w:val="center"/>
          </w:tcPr>
          <w:p w14:paraId="41397363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7C8F5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16" w:type="dxa"/>
            <w:vAlign w:val="center"/>
          </w:tcPr>
          <w:p w14:paraId="33603E69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1" w:type="dxa"/>
            <w:gridSpan w:val="3"/>
            <w:vAlign w:val="center"/>
          </w:tcPr>
          <w:p w14:paraId="3C506554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2" w:type="dxa"/>
            <w:gridSpan w:val="5"/>
            <w:vAlign w:val="center"/>
          </w:tcPr>
          <w:p w14:paraId="48157210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1" w:type="dxa"/>
            <w:gridSpan w:val="4"/>
            <w:vAlign w:val="center"/>
          </w:tcPr>
          <w:p w14:paraId="66ED09D0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2" w:type="dxa"/>
            <w:gridSpan w:val="4"/>
            <w:vAlign w:val="center"/>
          </w:tcPr>
          <w:p w14:paraId="6DE99489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4" w:type="dxa"/>
            <w:gridSpan w:val="2"/>
            <w:vAlign w:val="center"/>
          </w:tcPr>
          <w:p w14:paraId="1AB419A7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6F708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16" w:type="dxa"/>
            <w:vAlign w:val="center"/>
          </w:tcPr>
          <w:p w14:paraId="068BD5D3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1" w:type="dxa"/>
            <w:gridSpan w:val="3"/>
            <w:vAlign w:val="center"/>
          </w:tcPr>
          <w:p w14:paraId="5546C414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2" w:type="dxa"/>
            <w:gridSpan w:val="5"/>
            <w:vAlign w:val="center"/>
          </w:tcPr>
          <w:p w14:paraId="081514D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1" w:type="dxa"/>
            <w:gridSpan w:val="4"/>
            <w:vAlign w:val="center"/>
          </w:tcPr>
          <w:p w14:paraId="08E369E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2" w:type="dxa"/>
            <w:gridSpan w:val="4"/>
            <w:vAlign w:val="center"/>
          </w:tcPr>
          <w:p w14:paraId="3DE398B0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4" w:type="dxa"/>
            <w:gridSpan w:val="2"/>
            <w:vAlign w:val="center"/>
          </w:tcPr>
          <w:p w14:paraId="5996F790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7EBB7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16" w:type="dxa"/>
            <w:vAlign w:val="center"/>
          </w:tcPr>
          <w:p w14:paraId="69257819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1" w:type="dxa"/>
            <w:gridSpan w:val="3"/>
            <w:vAlign w:val="center"/>
          </w:tcPr>
          <w:p w14:paraId="713CEAF8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2" w:type="dxa"/>
            <w:gridSpan w:val="5"/>
            <w:vAlign w:val="center"/>
          </w:tcPr>
          <w:p w14:paraId="6F09C2D4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1" w:type="dxa"/>
            <w:gridSpan w:val="4"/>
            <w:vAlign w:val="center"/>
          </w:tcPr>
          <w:p w14:paraId="63A7E8C5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2" w:type="dxa"/>
            <w:gridSpan w:val="4"/>
            <w:vAlign w:val="center"/>
          </w:tcPr>
          <w:p w14:paraId="504FB5E8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4" w:type="dxa"/>
            <w:gridSpan w:val="2"/>
            <w:vAlign w:val="center"/>
          </w:tcPr>
          <w:p w14:paraId="07EEC7EE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4EFC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16" w:type="dxa"/>
            <w:vAlign w:val="center"/>
          </w:tcPr>
          <w:p w14:paraId="0E6C2EC6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1" w:type="dxa"/>
            <w:gridSpan w:val="3"/>
            <w:vAlign w:val="center"/>
          </w:tcPr>
          <w:p w14:paraId="6F29706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2" w:type="dxa"/>
            <w:gridSpan w:val="5"/>
            <w:vAlign w:val="center"/>
          </w:tcPr>
          <w:p w14:paraId="4ED95633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1" w:type="dxa"/>
            <w:gridSpan w:val="4"/>
            <w:vAlign w:val="center"/>
          </w:tcPr>
          <w:p w14:paraId="14A94F18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2" w:type="dxa"/>
            <w:gridSpan w:val="4"/>
            <w:vAlign w:val="center"/>
          </w:tcPr>
          <w:p w14:paraId="53A396D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574" w:type="dxa"/>
            <w:gridSpan w:val="2"/>
            <w:vAlign w:val="center"/>
          </w:tcPr>
          <w:p w14:paraId="05D56475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14:paraId="691F9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16" w:type="dxa"/>
            <w:vMerge w:val="restart"/>
            <w:vAlign w:val="center"/>
          </w:tcPr>
          <w:p w14:paraId="2B949968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测量重复性</w:t>
            </w:r>
          </w:p>
          <w:p w14:paraId="05E1A50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（针（锥）入度）</w:t>
            </w:r>
          </w:p>
        </w:tc>
        <w:tc>
          <w:tcPr>
            <w:tcW w:w="982" w:type="dxa"/>
            <w:gridSpan w:val="2"/>
            <w:vAlign w:val="center"/>
          </w:tcPr>
          <w:p w14:paraId="203712A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982" w:type="dxa"/>
            <w:gridSpan w:val="3"/>
            <w:vAlign w:val="center"/>
          </w:tcPr>
          <w:p w14:paraId="062D1F5C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982" w:type="dxa"/>
            <w:gridSpan w:val="2"/>
            <w:vAlign w:val="center"/>
          </w:tcPr>
          <w:p w14:paraId="707F91C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</w:t>
            </w:r>
          </w:p>
        </w:tc>
        <w:tc>
          <w:tcPr>
            <w:tcW w:w="983" w:type="dxa"/>
            <w:gridSpan w:val="3"/>
            <w:vAlign w:val="center"/>
          </w:tcPr>
          <w:p w14:paraId="074650D5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</w:t>
            </w:r>
          </w:p>
        </w:tc>
        <w:tc>
          <w:tcPr>
            <w:tcW w:w="982" w:type="dxa"/>
            <w:gridSpan w:val="3"/>
            <w:vAlign w:val="center"/>
          </w:tcPr>
          <w:p w14:paraId="5D80A742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</w:t>
            </w:r>
          </w:p>
        </w:tc>
        <w:tc>
          <w:tcPr>
            <w:tcW w:w="982" w:type="dxa"/>
            <w:vAlign w:val="center"/>
          </w:tcPr>
          <w:p w14:paraId="02C04EF6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6</w:t>
            </w:r>
          </w:p>
        </w:tc>
        <w:tc>
          <w:tcPr>
            <w:tcW w:w="982" w:type="dxa"/>
            <w:gridSpan w:val="3"/>
            <w:vAlign w:val="center"/>
          </w:tcPr>
          <w:p w14:paraId="3E5A69EC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7</w:t>
            </w:r>
          </w:p>
        </w:tc>
        <w:tc>
          <w:tcPr>
            <w:tcW w:w="985" w:type="dxa"/>
            <w:vAlign w:val="center"/>
          </w:tcPr>
          <w:p w14:paraId="24378E3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重复性</w:t>
            </w:r>
          </w:p>
        </w:tc>
      </w:tr>
      <w:tr w14:paraId="67923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16" w:type="dxa"/>
            <w:vMerge w:val="continue"/>
            <w:vAlign w:val="center"/>
          </w:tcPr>
          <w:p w14:paraId="2DE3D60E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56187800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2" w:type="dxa"/>
            <w:gridSpan w:val="3"/>
            <w:vAlign w:val="center"/>
          </w:tcPr>
          <w:p w14:paraId="336AEE30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5C2ED342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3" w:type="dxa"/>
            <w:gridSpan w:val="3"/>
            <w:vAlign w:val="center"/>
          </w:tcPr>
          <w:p w14:paraId="02AEE18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2" w:type="dxa"/>
            <w:gridSpan w:val="3"/>
            <w:vAlign w:val="center"/>
          </w:tcPr>
          <w:p w14:paraId="171B7CFC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2" w:type="dxa"/>
            <w:vAlign w:val="center"/>
          </w:tcPr>
          <w:p w14:paraId="4CBA2BBD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2" w:type="dxa"/>
            <w:gridSpan w:val="3"/>
            <w:vAlign w:val="center"/>
          </w:tcPr>
          <w:p w14:paraId="265930D4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985" w:type="dxa"/>
            <w:vAlign w:val="center"/>
          </w:tcPr>
          <w:p w14:paraId="3420F9B4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14:paraId="525727B7">
      <w:pPr>
        <w:rPr>
          <w:sz w:val="24"/>
        </w:rPr>
      </w:pPr>
    </w:p>
    <w:p w14:paraId="0D598C31">
      <w:pPr>
        <w:spacing w:line="360" w:lineRule="auto"/>
        <w:rPr>
          <w:sz w:val="24"/>
        </w:rPr>
      </w:pPr>
    </w:p>
    <w:p w14:paraId="0E8AAFE1">
      <w:pPr>
        <w:spacing w:line="360" w:lineRule="auto"/>
        <w:rPr>
          <w:sz w:val="24"/>
        </w:rPr>
      </w:pPr>
    </w:p>
    <w:p w14:paraId="2C3089C5">
      <w:pPr>
        <w:spacing w:line="360" w:lineRule="auto"/>
        <w:rPr>
          <w:sz w:val="24"/>
        </w:rPr>
      </w:pPr>
    </w:p>
    <w:p w14:paraId="5C1411AC">
      <w:pPr>
        <w:spacing w:line="360" w:lineRule="auto"/>
        <w:rPr>
          <w:sz w:val="24"/>
        </w:rPr>
      </w:pPr>
    </w:p>
    <w:p w14:paraId="26B25DDD">
      <w:pPr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附录C</w:t>
      </w:r>
    </w:p>
    <w:p w14:paraId="481868AC">
      <w:pPr>
        <w:jc w:val="center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校准证书内页格式</w:t>
      </w:r>
    </w:p>
    <w:tbl>
      <w:tblPr>
        <w:tblStyle w:val="19"/>
        <w:tblW w:w="95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90"/>
        <w:gridCol w:w="6380"/>
      </w:tblGrid>
      <w:tr w14:paraId="292AC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 w14:paraId="2B7D18E6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校准项目</w:t>
            </w:r>
          </w:p>
        </w:tc>
        <w:tc>
          <w:tcPr>
            <w:tcW w:w="6380" w:type="dxa"/>
            <w:vAlign w:val="center"/>
          </w:tcPr>
          <w:p w14:paraId="69A1E1FD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校准结果</w:t>
            </w:r>
          </w:p>
        </w:tc>
      </w:tr>
      <w:tr w14:paraId="47B95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 w14:paraId="29AED139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水浴温度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示值误</w:t>
            </w:r>
            <w:r>
              <w:rPr>
                <w:rFonts w:hint="eastAsia" w:ascii="宋体" w:hAnsi="宋体"/>
                <w:sz w:val="24"/>
              </w:rPr>
              <w:t>差</w:t>
            </w:r>
          </w:p>
        </w:tc>
        <w:tc>
          <w:tcPr>
            <w:tcW w:w="6380" w:type="dxa"/>
            <w:vAlign w:val="center"/>
          </w:tcPr>
          <w:p w14:paraId="1B098A1C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030C2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 w14:paraId="2F3EC275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计时误差</w:t>
            </w:r>
          </w:p>
        </w:tc>
        <w:tc>
          <w:tcPr>
            <w:tcW w:w="6380" w:type="dxa"/>
            <w:vAlign w:val="center"/>
          </w:tcPr>
          <w:p w14:paraId="586B0B45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5574B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 w14:paraId="49DEEF95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针（锥）入度示值误差</w:t>
            </w:r>
          </w:p>
        </w:tc>
        <w:tc>
          <w:tcPr>
            <w:tcW w:w="6380" w:type="dxa"/>
            <w:vAlign w:val="center"/>
          </w:tcPr>
          <w:p w14:paraId="77E8E098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  <w:tr w14:paraId="290F3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90" w:type="dxa"/>
            <w:vAlign w:val="center"/>
          </w:tcPr>
          <w:p w14:paraId="193809FE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针（锥）入度测量重复性</w:t>
            </w:r>
          </w:p>
        </w:tc>
        <w:tc>
          <w:tcPr>
            <w:tcW w:w="6380" w:type="dxa"/>
            <w:vAlign w:val="center"/>
          </w:tcPr>
          <w:p w14:paraId="0BA2347F">
            <w:pPr>
              <w:adjustRightInd w:val="0"/>
              <w:snapToGrid w:val="0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16D890AF">
      <w:pPr>
        <w:rPr>
          <w:rFonts w:eastAsia="黑体"/>
          <w:b/>
          <w:sz w:val="28"/>
          <w:szCs w:val="28"/>
        </w:rPr>
      </w:pPr>
    </w:p>
    <w:p w14:paraId="5956EECF">
      <w:pPr>
        <w:rPr>
          <w:rFonts w:eastAsia="黑体"/>
          <w:b/>
          <w:sz w:val="28"/>
          <w:szCs w:val="28"/>
        </w:rPr>
      </w:pPr>
    </w:p>
    <w:p w14:paraId="53469294">
      <w:pPr>
        <w:rPr>
          <w:rFonts w:eastAsia="黑体"/>
          <w:b/>
          <w:sz w:val="28"/>
          <w:szCs w:val="28"/>
        </w:rPr>
      </w:pPr>
    </w:p>
    <w:p w14:paraId="5765CD3D">
      <w:pPr>
        <w:rPr>
          <w:rFonts w:eastAsia="黑体"/>
          <w:b/>
          <w:sz w:val="28"/>
          <w:szCs w:val="28"/>
        </w:rPr>
      </w:pPr>
    </w:p>
    <w:p w14:paraId="42B97F75">
      <w:pPr>
        <w:rPr>
          <w:rFonts w:eastAsia="黑体"/>
          <w:b/>
          <w:sz w:val="28"/>
          <w:szCs w:val="28"/>
        </w:rPr>
      </w:pPr>
    </w:p>
    <w:p w14:paraId="01667ACA">
      <w:pPr>
        <w:rPr>
          <w:rFonts w:eastAsia="黑体"/>
          <w:b/>
          <w:sz w:val="28"/>
          <w:szCs w:val="28"/>
        </w:rPr>
      </w:pPr>
    </w:p>
    <w:p w14:paraId="19B0D6F9">
      <w:pPr>
        <w:rPr>
          <w:rFonts w:eastAsia="黑体"/>
          <w:b/>
          <w:sz w:val="28"/>
          <w:szCs w:val="28"/>
        </w:rPr>
      </w:pPr>
    </w:p>
    <w:p w14:paraId="4DAAB5DD">
      <w:pPr>
        <w:rPr>
          <w:rFonts w:eastAsia="黑体"/>
          <w:b/>
          <w:sz w:val="28"/>
          <w:szCs w:val="28"/>
        </w:rPr>
      </w:pPr>
    </w:p>
    <w:p w14:paraId="240D647E">
      <w:pPr>
        <w:rPr>
          <w:rFonts w:eastAsia="黑体"/>
          <w:b/>
          <w:sz w:val="28"/>
          <w:szCs w:val="28"/>
        </w:rPr>
      </w:pPr>
    </w:p>
    <w:p w14:paraId="28E6CECD">
      <w:pPr>
        <w:rPr>
          <w:rFonts w:eastAsia="黑体"/>
          <w:b/>
          <w:sz w:val="28"/>
          <w:szCs w:val="28"/>
        </w:rPr>
      </w:pPr>
    </w:p>
    <w:p w14:paraId="30709D13">
      <w:pPr>
        <w:rPr>
          <w:rFonts w:eastAsia="黑体"/>
          <w:b/>
          <w:sz w:val="28"/>
          <w:szCs w:val="28"/>
        </w:rPr>
      </w:pPr>
    </w:p>
    <w:p w14:paraId="6C882757">
      <w:pPr>
        <w:rPr>
          <w:rFonts w:eastAsia="黑体"/>
          <w:b/>
          <w:sz w:val="28"/>
          <w:szCs w:val="28"/>
        </w:rPr>
      </w:pPr>
    </w:p>
    <w:p w14:paraId="7D91B4D9">
      <w:pPr>
        <w:rPr>
          <w:rFonts w:eastAsia="黑体"/>
          <w:b/>
          <w:sz w:val="28"/>
          <w:szCs w:val="28"/>
        </w:rPr>
      </w:pPr>
    </w:p>
    <w:p w14:paraId="7FC742D8">
      <w:pPr>
        <w:rPr>
          <w:rFonts w:eastAsia="黑体"/>
          <w:b/>
          <w:sz w:val="28"/>
          <w:szCs w:val="28"/>
        </w:rPr>
      </w:pPr>
    </w:p>
    <w:p w14:paraId="7928E045">
      <w:pPr>
        <w:rPr>
          <w:rFonts w:eastAsia="黑体"/>
          <w:b/>
          <w:sz w:val="28"/>
          <w:szCs w:val="28"/>
        </w:rPr>
      </w:pPr>
    </w:p>
    <w:p w14:paraId="6877F155">
      <w:pPr>
        <w:rPr>
          <w:rFonts w:eastAsia="黑体"/>
          <w:b/>
          <w:sz w:val="28"/>
          <w:szCs w:val="28"/>
        </w:rPr>
      </w:pPr>
    </w:p>
    <w:p w14:paraId="50A03FBF">
      <w:pPr>
        <w:rPr>
          <w:rFonts w:eastAsia="黑体"/>
          <w:b/>
          <w:sz w:val="28"/>
          <w:szCs w:val="28"/>
        </w:rPr>
      </w:pPr>
    </w:p>
    <w:p w14:paraId="7C5648BB">
      <w:pPr>
        <w:rPr>
          <w:rFonts w:eastAsia="黑体"/>
          <w:b/>
          <w:sz w:val="28"/>
          <w:szCs w:val="28"/>
        </w:rPr>
      </w:pPr>
    </w:p>
    <w:p w14:paraId="4BEFED1B">
      <w:pPr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附录D</w:t>
      </w:r>
    </w:p>
    <w:p w14:paraId="362C6A56">
      <w:pPr>
        <w:jc w:val="center"/>
        <w:rPr>
          <w:rFonts w:eastAsia="黑体"/>
          <w:b/>
          <w:sz w:val="28"/>
          <w:szCs w:val="28"/>
        </w:rPr>
      </w:pPr>
      <w:r>
        <w:rPr>
          <w:rFonts w:hint="eastAsia" w:eastAsia="黑体"/>
          <w:b/>
          <w:sz w:val="28"/>
          <w:szCs w:val="28"/>
        </w:rPr>
        <w:t>示值误差校准</w:t>
      </w:r>
      <w:r>
        <w:rPr>
          <w:rFonts w:eastAsia="黑体"/>
          <w:b/>
          <w:sz w:val="28"/>
          <w:szCs w:val="28"/>
        </w:rPr>
        <w:t>结果</w:t>
      </w:r>
      <w:r>
        <w:rPr>
          <w:rFonts w:hint="eastAsia" w:eastAsia="黑体"/>
          <w:b/>
          <w:sz w:val="28"/>
          <w:szCs w:val="28"/>
        </w:rPr>
        <w:t>测量不确定度评定示例</w:t>
      </w:r>
    </w:p>
    <w:p w14:paraId="7E7718A9">
      <w:pPr>
        <w:jc w:val="left"/>
        <w:rPr>
          <w:rFonts w:asciiTheme="majorEastAsia" w:hAnsiTheme="majorEastAsia" w:eastAsiaTheme="majorEastAsia"/>
          <w:sz w:val="24"/>
        </w:rPr>
      </w:pPr>
      <w:r>
        <w:rPr>
          <w:rFonts w:asciiTheme="majorEastAsia" w:hAnsiTheme="majorEastAsia" w:eastAsiaTheme="majorEastAsia"/>
          <w:sz w:val="24"/>
        </w:rPr>
        <w:t>1</w:t>
      </w:r>
      <w:r>
        <w:rPr>
          <w:rFonts w:hint="eastAsia" w:asciiTheme="majorEastAsia" w:hAnsiTheme="majorEastAsia" w:eastAsiaTheme="majorEastAsia"/>
          <w:sz w:val="24"/>
        </w:rPr>
        <w:t>、概述</w:t>
      </w:r>
    </w:p>
    <w:p w14:paraId="386C305F">
      <w:pPr>
        <w:jc w:val="left"/>
        <w:rPr>
          <w:rFonts w:asciiTheme="majorEastAsia" w:hAnsiTheme="majorEastAsia" w:eastAsiaTheme="majorEastAsia"/>
          <w:bCs/>
          <w:sz w:val="24"/>
        </w:rPr>
      </w:pPr>
      <w:r>
        <w:rPr>
          <w:rFonts w:asciiTheme="majorEastAsia" w:hAnsiTheme="majorEastAsia" w:eastAsiaTheme="majorEastAsia"/>
          <w:sz w:val="24"/>
        </w:rPr>
        <w:t>1.1</w:t>
      </w:r>
      <w:r>
        <w:rPr>
          <w:rFonts w:hint="eastAsia" w:asciiTheme="majorEastAsia" w:hAnsiTheme="majorEastAsia" w:eastAsiaTheme="majorEastAsia"/>
          <w:sz w:val="24"/>
        </w:rPr>
        <w:t>测量依据：</w:t>
      </w:r>
      <w:r>
        <w:rPr>
          <w:rFonts w:asciiTheme="majorEastAsia" w:hAnsiTheme="majorEastAsia" w:eastAsiaTheme="majorEastAsia"/>
          <w:sz w:val="24"/>
        </w:rPr>
        <w:t>J</w:t>
      </w:r>
      <w:r>
        <w:rPr>
          <w:rFonts w:hint="eastAsia" w:asciiTheme="majorEastAsia" w:hAnsiTheme="majorEastAsia" w:eastAsiaTheme="majorEastAsia"/>
          <w:sz w:val="24"/>
        </w:rPr>
        <w:t>JFXXXX</w:t>
      </w:r>
      <w:r>
        <w:rPr>
          <w:rFonts w:asciiTheme="majorEastAsia" w:hAnsiTheme="majorEastAsia" w:eastAsiaTheme="majorEastAsia"/>
          <w:sz w:val="24"/>
        </w:rPr>
        <w:t>-20</w:t>
      </w:r>
      <w:r>
        <w:rPr>
          <w:rFonts w:hint="eastAsia" w:asciiTheme="majorEastAsia" w:hAnsiTheme="majorEastAsia" w:eastAsiaTheme="majorEastAsia"/>
          <w:sz w:val="24"/>
        </w:rPr>
        <w:t>2X《</w:t>
      </w:r>
      <w:r>
        <w:rPr>
          <w:rFonts w:hint="eastAsia" w:asciiTheme="majorEastAsia" w:hAnsiTheme="majorEastAsia" w:eastAsiaTheme="majorEastAsia"/>
          <w:bCs/>
          <w:sz w:val="24"/>
        </w:rPr>
        <w:t>石油产品针（锥）入度</w:t>
      </w:r>
      <w:r>
        <w:rPr>
          <w:rFonts w:asciiTheme="majorEastAsia" w:hAnsiTheme="majorEastAsia" w:eastAsiaTheme="majorEastAsia"/>
          <w:bCs/>
          <w:sz w:val="24"/>
        </w:rPr>
        <w:t>测定仪</w:t>
      </w:r>
      <w:r>
        <w:rPr>
          <w:rFonts w:hint="eastAsia" w:asciiTheme="majorEastAsia" w:hAnsiTheme="majorEastAsia" w:eastAsiaTheme="majorEastAsia"/>
          <w:bCs/>
          <w:sz w:val="24"/>
        </w:rPr>
        <w:t>校准规范</w:t>
      </w:r>
      <w:r>
        <w:rPr>
          <w:rFonts w:hint="eastAsia" w:asciiTheme="majorEastAsia" w:hAnsiTheme="majorEastAsia" w:eastAsiaTheme="majorEastAsia"/>
          <w:sz w:val="24"/>
        </w:rPr>
        <w:t>》</w:t>
      </w:r>
    </w:p>
    <w:p w14:paraId="265A0237">
      <w:pPr>
        <w:jc w:val="left"/>
        <w:rPr>
          <w:rFonts w:asciiTheme="majorEastAsia" w:hAnsiTheme="majorEastAsia" w:eastAsiaTheme="majorEastAsia"/>
          <w:sz w:val="24"/>
        </w:rPr>
      </w:pPr>
      <w:r>
        <w:rPr>
          <w:rFonts w:asciiTheme="majorEastAsia" w:hAnsiTheme="majorEastAsia" w:eastAsiaTheme="majorEastAsia"/>
          <w:sz w:val="24"/>
        </w:rPr>
        <w:t>1.2</w:t>
      </w:r>
      <w:r>
        <w:rPr>
          <w:rFonts w:hint="eastAsia" w:asciiTheme="majorEastAsia" w:hAnsiTheme="majorEastAsia" w:eastAsiaTheme="majorEastAsia"/>
          <w:sz w:val="24"/>
        </w:rPr>
        <w:t>环境条件：</w:t>
      </w:r>
    </w:p>
    <w:p w14:paraId="191CB2E7">
      <w:pPr>
        <w:jc w:val="left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环境温度：</w:t>
      </w:r>
      <w:r>
        <w:rPr>
          <w:rFonts w:asciiTheme="majorEastAsia" w:hAnsiTheme="majorEastAsia" w:eastAsiaTheme="majorEastAsia"/>
          <w:sz w:val="24"/>
        </w:rPr>
        <w:t>（</w:t>
      </w:r>
      <w:r>
        <w:rPr>
          <w:rFonts w:hint="eastAsia" w:asciiTheme="majorEastAsia" w:hAnsiTheme="majorEastAsia" w:eastAsiaTheme="majorEastAsia"/>
          <w:sz w:val="24"/>
        </w:rPr>
        <w:t>24±2</w:t>
      </w:r>
      <w:r>
        <w:rPr>
          <w:rFonts w:asciiTheme="majorEastAsia" w:hAnsiTheme="majorEastAsia" w:eastAsiaTheme="majorEastAsia"/>
          <w:sz w:val="24"/>
        </w:rPr>
        <w:t>）</w:t>
      </w:r>
      <w:r>
        <w:rPr>
          <w:rFonts w:hint="eastAsia" w:asciiTheme="majorEastAsia" w:hAnsiTheme="majorEastAsia" w:eastAsiaTheme="majorEastAsia"/>
          <w:sz w:val="24"/>
        </w:rPr>
        <w:t>℃</w:t>
      </w:r>
    </w:p>
    <w:p w14:paraId="535FEC9F">
      <w:pPr>
        <w:jc w:val="left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相对湿度：不大于85</w:t>
      </w:r>
      <w:r>
        <w:rPr>
          <w:rFonts w:asciiTheme="majorEastAsia" w:hAnsiTheme="majorEastAsia" w:eastAsiaTheme="majorEastAsia"/>
          <w:sz w:val="24"/>
        </w:rPr>
        <w:t>%</w:t>
      </w:r>
    </w:p>
    <w:p w14:paraId="7AA26D30">
      <w:pPr>
        <w:jc w:val="left"/>
        <w:rPr>
          <w:rFonts w:asciiTheme="majorEastAsia" w:hAnsiTheme="majorEastAsia" w:eastAsiaTheme="majorEastAsia"/>
          <w:sz w:val="24"/>
        </w:rPr>
      </w:pPr>
      <w:r>
        <w:rPr>
          <w:rFonts w:asciiTheme="majorEastAsia" w:hAnsiTheme="majorEastAsia" w:eastAsiaTheme="majorEastAsia"/>
          <w:sz w:val="24"/>
        </w:rPr>
        <w:t>1.3</w:t>
      </w:r>
      <w:r>
        <w:rPr>
          <w:rFonts w:hint="eastAsia" w:asciiTheme="majorEastAsia" w:hAnsiTheme="majorEastAsia" w:eastAsiaTheme="majorEastAsia"/>
          <w:sz w:val="24"/>
        </w:rPr>
        <w:t>计量标准：主要计量标准设备见表</w:t>
      </w:r>
      <w:r>
        <w:rPr>
          <w:rFonts w:asciiTheme="majorEastAsia" w:hAnsiTheme="majorEastAsia" w:eastAsiaTheme="majorEastAsia"/>
          <w:sz w:val="24"/>
        </w:rPr>
        <w:t>1</w:t>
      </w:r>
      <w:r>
        <w:rPr>
          <w:rFonts w:hint="eastAsia" w:asciiTheme="majorEastAsia" w:hAnsiTheme="majorEastAsia" w:eastAsiaTheme="majorEastAsia"/>
          <w:sz w:val="24"/>
        </w:rPr>
        <w:t>。</w:t>
      </w:r>
    </w:p>
    <w:p w14:paraId="33ADAF78">
      <w:pPr>
        <w:jc w:val="center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表</w:t>
      </w:r>
      <w:r>
        <w:rPr>
          <w:rFonts w:asciiTheme="majorEastAsia" w:hAnsiTheme="majorEastAsia" w:eastAsiaTheme="majorEastAsia"/>
          <w:sz w:val="24"/>
        </w:rPr>
        <w:t>1.</w:t>
      </w:r>
      <w:r>
        <w:rPr>
          <w:rFonts w:hint="eastAsia" w:asciiTheme="majorEastAsia" w:hAnsiTheme="majorEastAsia" w:eastAsiaTheme="majorEastAsia"/>
          <w:sz w:val="24"/>
        </w:rPr>
        <w:t>实验室的计量标准器</w:t>
      </w:r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1"/>
        <w:gridCol w:w="4421"/>
      </w:tblGrid>
      <w:tr w14:paraId="4CBB4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4421" w:type="dxa"/>
            <w:vAlign w:val="center"/>
          </w:tcPr>
          <w:p w14:paraId="17D5A9E9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设备名称</w:t>
            </w:r>
          </w:p>
        </w:tc>
        <w:tc>
          <w:tcPr>
            <w:tcW w:w="4421" w:type="dxa"/>
            <w:vAlign w:val="center"/>
          </w:tcPr>
          <w:p w14:paraId="3B2B8F0E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技术性能</w:t>
            </w:r>
          </w:p>
        </w:tc>
      </w:tr>
      <w:tr w14:paraId="36AD0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4421" w:type="dxa"/>
            <w:vAlign w:val="center"/>
          </w:tcPr>
          <w:p w14:paraId="2A284AED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石油产品针入度测定用标准物质</w:t>
            </w:r>
          </w:p>
        </w:tc>
        <w:tc>
          <w:tcPr>
            <w:tcW w:w="4421" w:type="dxa"/>
            <w:vAlign w:val="center"/>
          </w:tcPr>
          <w:p w14:paraId="5F32B856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i/>
                <w:sz w:val="24"/>
              </w:rPr>
              <w:t>U</w:t>
            </w:r>
            <w:r>
              <w:rPr>
                <w:rFonts w:hint="eastAsia" w:asciiTheme="majorEastAsia" w:hAnsiTheme="majorEastAsia" w:eastAsiaTheme="majorEastAsia"/>
                <w:sz w:val="24"/>
              </w:rPr>
              <w:t>=0.3针入度，</w:t>
            </w:r>
            <w:r>
              <w:rPr>
                <w:rFonts w:hint="eastAsia" w:asciiTheme="majorEastAsia" w:hAnsiTheme="majorEastAsia" w:eastAsiaTheme="majorEastAsia"/>
                <w:i/>
                <w:sz w:val="24"/>
              </w:rPr>
              <w:t>k</w:t>
            </w:r>
            <w:r>
              <w:rPr>
                <w:rFonts w:hint="eastAsia" w:asciiTheme="majorEastAsia" w:hAnsiTheme="majorEastAsia" w:eastAsiaTheme="majorEastAsia"/>
                <w:sz w:val="24"/>
              </w:rPr>
              <w:t>=2</w:t>
            </w:r>
          </w:p>
        </w:tc>
      </w:tr>
    </w:tbl>
    <w:p w14:paraId="26F0D01E">
      <w:pPr>
        <w:jc w:val="left"/>
        <w:rPr>
          <w:rFonts w:asciiTheme="majorEastAsia" w:hAnsiTheme="majorEastAsia" w:eastAsiaTheme="majorEastAsia"/>
          <w:sz w:val="24"/>
        </w:rPr>
      </w:pPr>
      <w:r>
        <w:rPr>
          <w:rFonts w:asciiTheme="majorEastAsia" w:hAnsiTheme="majorEastAsia" w:eastAsiaTheme="majorEastAsia"/>
          <w:sz w:val="24"/>
        </w:rPr>
        <w:t>1.4</w:t>
      </w:r>
      <w:r>
        <w:rPr>
          <w:rFonts w:hint="eastAsia" w:asciiTheme="majorEastAsia" w:hAnsiTheme="majorEastAsia" w:eastAsiaTheme="majorEastAsia"/>
          <w:sz w:val="24"/>
        </w:rPr>
        <w:t>被测对象：</w:t>
      </w:r>
      <w:r>
        <w:rPr>
          <w:rFonts w:hint="eastAsia" w:asciiTheme="majorEastAsia" w:hAnsiTheme="majorEastAsia" w:eastAsiaTheme="majorEastAsia"/>
          <w:bCs/>
          <w:sz w:val="24"/>
        </w:rPr>
        <w:t>石油产品针入度测定仪</w:t>
      </w:r>
    </w:p>
    <w:p w14:paraId="77E76AFF">
      <w:pPr>
        <w:jc w:val="left"/>
        <w:rPr>
          <w:rFonts w:asciiTheme="majorEastAsia" w:hAnsiTheme="majorEastAsia" w:eastAsiaTheme="majorEastAsia"/>
          <w:sz w:val="24"/>
        </w:rPr>
      </w:pPr>
      <w:r>
        <w:rPr>
          <w:rFonts w:asciiTheme="majorEastAsia" w:hAnsiTheme="majorEastAsia" w:eastAsiaTheme="majorEastAsia"/>
          <w:sz w:val="24"/>
        </w:rPr>
        <w:t>2</w:t>
      </w:r>
      <w:r>
        <w:rPr>
          <w:rFonts w:hint="eastAsia" w:asciiTheme="majorEastAsia" w:hAnsiTheme="majorEastAsia" w:eastAsiaTheme="majorEastAsia"/>
          <w:sz w:val="24"/>
        </w:rPr>
        <w:t>、建立测量模型，列出不确定度传播率</w:t>
      </w:r>
    </w:p>
    <w:p w14:paraId="7BA19AA5">
      <w:pPr>
        <w:jc w:val="left"/>
        <w:rPr>
          <w:rFonts w:asciiTheme="majorEastAsia" w:hAnsiTheme="majorEastAsia" w:eastAsiaTheme="majorEastAsia"/>
          <w:sz w:val="24"/>
        </w:rPr>
      </w:pPr>
      <w:r>
        <w:rPr>
          <w:rFonts w:asciiTheme="majorEastAsia" w:hAnsiTheme="majorEastAsia" w:eastAsiaTheme="majorEastAsia"/>
          <w:sz w:val="24"/>
        </w:rPr>
        <w:t>2.1</w:t>
      </w:r>
      <w:r>
        <w:rPr>
          <w:rFonts w:hint="eastAsia" w:asciiTheme="majorEastAsia" w:hAnsiTheme="majorEastAsia" w:eastAsiaTheme="majorEastAsia"/>
          <w:sz w:val="24"/>
        </w:rPr>
        <w:t>示值绝对误差计算公式</w:t>
      </w:r>
    </w:p>
    <w:p w14:paraId="4115CA09">
      <w:pPr>
        <w:jc w:val="left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 xml:space="preserve">                             </w:t>
      </w:r>
      <w:r>
        <w:rPr>
          <w:rFonts w:asciiTheme="majorEastAsia" w:hAnsiTheme="majorEastAsia" w:eastAsiaTheme="majorEastAsia"/>
          <w:sz w:val="24"/>
        </w:rPr>
        <w:object>
          <v:shape id="_x0000_i1026" o:spt="75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29">
            <o:LockedField>false</o:LockedField>
          </o:OLEObject>
        </w:object>
      </w:r>
      <w:r>
        <w:rPr>
          <w:rFonts w:asciiTheme="majorEastAsia" w:hAnsiTheme="majorEastAsia" w:eastAsiaTheme="majorEastAsia"/>
          <w:bCs/>
          <w:sz w:val="24"/>
        </w:rPr>
        <w:t xml:space="preserve">                                   (1)</w:t>
      </w:r>
    </w:p>
    <w:p w14:paraId="70A82D78">
      <w:pPr>
        <w:jc w:val="left"/>
        <w:textAlignment w:val="center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式中：</w:t>
      </w:r>
      <w:r>
        <w:rPr>
          <w:rFonts w:asciiTheme="majorEastAsia" w:hAnsiTheme="majorEastAsia" w:eastAsiaTheme="majorEastAsia"/>
          <w:sz w:val="24"/>
        </w:rPr>
        <w:t xml:space="preserve"> </w:t>
      </w:r>
      <w:r>
        <w:rPr>
          <w:rFonts w:asciiTheme="majorEastAsia" w:hAnsiTheme="majorEastAsia" w:eastAsiaTheme="majorEastAsia"/>
          <w:sz w:val="24"/>
        </w:rPr>
        <w:object>
          <v:shape id="_x0000_i1027" o:spt="75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31">
            <o:LockedField>false</o:LockedField>
          </o:OLEObject>
        </w:object>
      </w:r>
      <w:r>
        <w:rPr>
          <w:rFonts w:asciiTheme="majorEastAsia" w:hAnsiTheme="majorEastAsia" w:eastAsiaTheme="majorEastAsia"/>
          <w:sz w:val="24"/>
        </w:rPr>
        <w:t>--</w:t>
      </w:r>
      <w:r>
        <w:rPr>
          <w:rFonts w:hint="eastAsia" w:asciiTheme="majorEastAsia" w:hAnsiTheme="majorEastAsia" w:eastAsiaTheme="majorEastAsia"/>
          <w:sz w:val="24"/>
        </w:rPr>
        <w:t>被校准</w:t>
      </w:r>
      <w:r>
        <w:rPr>
          <w:rFonts w:hint="eastAsia" w:asciiTheme="majorEastAsia" w:hAnsiTheme="majorEastAsia" w:eastAsiaTheme="majorEastAsia"/>
          <w:bCs/>
          <w:sz w:val="24"/>
        </w:rPr>
        <w:t>石油产品针入度测定仪</w:t>
      </w:r>
      <w:r>
        <w:rPr>
          <w:rFonts w:hint="eastAsia" w:asciiTheme="majorEastAsia" w:hAnsiTheme="majorEastAsia" w:eastAsiaTheme="majorEastAsia"/>
          <w:sz w:val="24"/>
        </w:rPr>
        <w:t>示值误差，0.1针入度；</w:t>
      </w:r>
    </w:p>
    <w:p w14:paraId="76FE3456">
      <w:pPr>
        <w:jc w:val="left"/>
        <w:textAlignment w:val="center"/>
        <w:rPr>
          <w:rFonts w:asciiTheme="majorEastAsia" w:hAnsiTheme="majorEastAsia" w:eastAsiaTheme="majorEastAsia"/>
          <w:sz w:val="24"/>
        </w:rPr>
      </w:pPr>
      <w:r>
        <w:rPr>
          <w:rFonts w:asciiTheme="majorEastAsia" w:hAnsiTheme="majorEastAsia" w:eastAsiaTheme="majorEastAsia"/>
          <w:sz w:val="24"/>
        </w:rPr>
        <w:t xml:space="preserve">      </w:t>
      </w:r>
      <w:r>
        <w:rPr>
          <w:rFonts w:hint="eastAsia" w:asciiTheme="majorEastAsia" w:hAnsiTheme="majorEastAsia" w:eastAsiaTheme="majorEastAsia"/>
          <w:sz w:val="24"/>
        </w:rPr>
        <w:t xml:space="preserve"> </w:t>
      </w:r>
      <w:r>
        <w:rPr>
          <w:rFonts w:asciiTheme="majorEastAsia" w:hAnsiTheme="majorEastAsia" w:eastAsiaTheme="majorEastAsia"/>
          <w:sz w:val="24"/>
        </w:rPr>
        <w:object>
          <v:shape id="_x0000_i1028" o:spt="75" type="#_x0000_t75" style="height:14.25pt;width:6.7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33">
            <o:LockedField>false</o:LockedField>
          </o:OLEObject>
        </w:object>
      </w:r>
      <w:r>
        <w:rPr>
          <w:rFonts w:asciiTheme="majorEastAsia" w:hAnsiTheme="majorEastAsia" w:eastAsiaTheme="majorEastAsia"/>
          <w:sz w:val="24"/>
        </w:rPr>
        <w:t>--</w:t>
      </w:r>
      <w:r>
        <w:rPr>
          <w:rFonts w:hint="eastAsia" w:asciiTheme="majorEastAsia" w:hAnsiTheme="majorEastAsia" w:eastAsiaTheme="majorEastAsia"/>
          <w:sz w:val="24"/>
        </w:rPr>
        <w:t>被校准</w:t>
      </w:r>
      <w:r>
        <w:rPr>
          <w:rFonts w:hint="eastAsia" w:asciiTheme="majorEastAsia" w:hAnsiTheme="majorEastAsia" w:eastAsiaTheme="majorEastAsia"/>
          <w:bCs/>
          <w:sz w:val="24"/>
        </w:rPr>
        <w:t>石油产品针入度测定仪</w:t>
      </w:r>
      <w:r>
        <w:rPr>
          <w:rFonts w:hint="eastAsia" w:asciiTheme="majorEastAsia" w:hAnsiTheme="majorEastAsia" w:eastAsiaTheme="majorEastAsia"/>
          <w:sz w:val="24"/>
        </w:rPr>
        <w:t>示值，0.1针入度；</w:t>
      </w:r>
    </w:p>
    <w:p w14:paraId="75A223EA">
      <w:pPr>
        <w:jc w:val="left"/>
        <w:textAlignment w:val="center"/>
        <w:rPr>
          <w:rFonts w:asciiTheme="majorEastAsia" w:hAnsiTheme="majorEastAsia" w:eastAsiaTheme="majorEastAsia"/>
          <w:sz w:val="24"/>
        </w:rPr>
      </w:pPr>
      <w:r>
        <w:rPr>
          <w:rFonts w:asciiTheme="majorEastAsia" w:hAnsiTheme="majorEastAsia" w:eastAsiaTheme="majorEastAsia"/>
          <w:sz w:val="24"/>
        </w:rPr>
        <w:t xml:space="preserve">     </w:t>
      </w:r>
      <w:r>
        <w:rPr>
          <w:rFonts w:hint="eastAsia" w:asciiTheme="majorEastAsia" w:hAnsiTheme="majorEastAsia" w:eastAsiaTheme="majorEastAsia"/>
          <w:sz w:val="24"/>
        </w:rPr>
        <w:t xml:space="preserve"> </w:t>
      </w:r>
      <w:r>
        <w:rPr>
          <w:rFonts w:asciiTheme="majorEastAsia" w:hAnsiTheme="majorEastAsia" w:eastAsiaTheme="majorEastAsia"/>
          <w:sz w:val="24"/>
        </w:rPr>
        <w:t xml:space="preserve"> </w:t>
      </w:r>
      <w:r>
        <w:rPr>
          <w:rFonts w:asciiTheme="majorEastAsia" w:hAnsiTheme="majorEastAsia" w:eastAsiaTheme="majorEastAsia"/>
          <w:sz w:val="24"/>
        </w:rPr>
        <w:object>
          <v:shape id="_x0000_i1029" o:spt="75" type="#_x0000_t75" style="height:18pt;width:9.7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35">
            <o:LockedField>false</o:LockedField>
          </o:OLEObject>
        </w:object>
      </w:r>
      <w:r>
        <w:rPr>
          <w:rFonts w:asciiTheme="majorEastAsia" w:hAnsiTheme="majorEastAsia" w:eastAsiaTheme="majorEastAsia"/>
          <w:sz w:val="24"/>
        </w:rPr>
        <w:t>--</w:t>
      </w:r>
      <w:r>
        <w:rPr>
          <w:rFonts w:hint="eastAsia" w:asciiTheme="majorEastAsia" w:hAnsiTheme="majorEastAsia" w:eastAsiaTheme="majorEastAsia"/>
          <w:sz w:val="24"/>
        </w:rPr>
        <w:t>标准物质认定值，0.1针入度。</w:t>
      </w:r>
    </w:p>
    <w:p w14:paraId="2B3C3F8B">
      <w:pPr>
        <w:jc w:val="left"/>
        <w:rPr>
          <w:rFonts w:asciiTheme="majorEastAsia" w:hAnsiTheme="majorEastAsia" w:eastAsiaTheme="majorEastAsia"/>
          <w:sz w:val="24"/>
        </w:rPr>
      </w:pPr>
      <w:r>
        <w:rPr>
          <w:rFonts w:asciiTheme="majorEastAsia" w:hAnsiTheme="majorEastAsia" w:eastAsiaTheme="majorEastAsia"/>
          <w:sz w:val="24"/>
        </w:rPr>
        <w:t>2.2</w:t>
      </w:r>
      <w:r>
        <w:rPr>
          <w:rFonts w:hint="eastAsia" w:asciiTheme="majorEastAsia" w:hAnsiTheme="majorEastAsia" w:eastAsiaTheme="majorEastAsia"/>
          <w:sz w:val="24"/>
        </w:rPr>
        <w:t>不确定度传播率</w:t>
      </w:r>
    </w:p>
    <w:p w14:paraId="0C94A8C5">
      <w:pPr>
        <w:jc w:val="left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 xml:space="preserve">                     </w:t>
      </w:r>
      <w:r>
        <w:rPr>
          <w:rFonts w:asciiTheme="majorEastAsia" w:hAnsiTheme="majorEastAsia" w:eastAsiaTheme="majorEastAsia"/>
          <w:sz w:val="24"/>
        </w:rPr>
        <w:object>
          <v:shape id="_x0000_i1030" o:spt="75" type="#_x0000_t75" style="height:18.75pt;width:168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37">
            <o:LockedField>false</o:LockedField>
          </o:OLEObject>
        </w:object>
      </w:r>
      <w:r>
        <w:rPr>
          <w:rFonts w:asciiTheme="majorEastAsia" w:hAnsiTheme="majorEastAsia" w:eastAsiaTheme="majorEastAsia"/>
          <w:sz w:val="24"/>
        </w:rPr>
        <w:t xml:space="preserve">     </w:t>
      </w:r>
      <w:r>
        <w:rPr>
          <w:rFonts w:hint="eastAsia" w:asciiTheme="majorEastAsia" w:hAnsiTheme="majorEastAsia" w:eastAsiaTheme="majorEastAsia"/>
          <w:sz w:val="24"/>
        </w:rPr>
        <w:t xml:space="preserve">     </w:t>
      </w:r>
      <w:r>
        <w:rPr>
          <w:rFonts w:asciiTheme="majorEastAsia" w:hAnsiTheme="majorEastAsia" w:eastAsiaTheme="majorEastAsia"/>
          <w:sz w:val="24"/>
        </w:rPr>
        <w:t xml:space="preserve">      </w:t>
      </w:r>
      <w:r>
        <w:rPr>
          <w:rFonts w:hint="eastAsia" w:asciiTheme="majorEastAsia" w:hAnsiTheme="majorEastAsia" w:eastAsiaTheme="majorEastAsia"/>
          <w:sz w:val="24"/>
        </w:rPr>
        <w:t xml:space="preserve">  </w:t>
      </w:r>
      <w:r>
        <w:rPr>
          <w:rFonts w:asciiTheme="majorEastAsia" w:hAnsiTheme="majorEastAsia" w:eastAsiaTheme="majorEastAsia"/>
          <w:sz w:val="24"/>
        </w:rPr>
        <w:t xml:space="preserve"> (</w:t>
      </w:r>
      <w:r>
        <w:rPr>
          <w:rFonts w:hint="eastAsia" w:asciiTheme="majorEastAsia" w:hAnsiTheme="majorEastAsia" w:eastAsiaTheme="majorEastAsia"/>
          <w:sz w:val="24"/>
        </w:rPr>
        <w:t>2</w:t>
      </w:r>
      <w:r>
        <w:rPr>
          <w:rFonts w:asciiTheme="majorEastAsia" w:hAnsiTheme="majorEastAsia" w:eastAsiaTheme="majorEastAsia"/>
          <w:sz w:val="24"/>
        </w:rPr>
        <w:t>)</w:t>
      </w:r>
    </w:p>
    <w:p w14:paraId="4B4A5DCC">
      <w:pPr>
        <w:jc w:val="left"/>
        <w:rPr>
          <w:rFonts w:asciiTheme="majorEastAsia" w:hAnsiTheme="majorEastAsia" w:eastAsiaTheme="majorEastAsia"/>
          <w:sz w:val="24"/>
        </w:rPr>
      </w:pPr>
      <w:r>
        <w:rPr>
          <w:rFonts w:asciiTheme="majorEastAsia" w:hAnsiTheme="majorEastAsia" w:eastAsiaTheme="majorEastAsia"/>
          <w:sz w:val="24"/>
        </w:rPr>
        <w:t>2.3</w:t>
      </w:r>
      <w:r>
        <w:rPr>
          <w:rFonts w:hint="eastAsia" w:asciiTheme="majorEastAsia" w:hAnsiTheme="majorEastAsia" w:eastAsiaTheme="majorEastAsia"/>
          <w:sz w:val="24"/>
        </w:rPr>
        <w:t>计算灵敏系数</w:t>
      </w:r>
    </w:p>
    <w:p w14:paraId="28F65D91">
      <w:pPr>
        <w:ind w:firstLine="480" w:firstLineChars="200"/>
        <w:jc w:val="left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上式中灵敏系数</w:t>
      </w:r>
      <w:r>
        <w:rPr>
          <w:rFonts w:asciiTheme="majorEastAsia" w:hAnsiTheme="majorEastAsia" w:eastAsiaTheme="majorEastAsia"/>
          <w:sz w:val="24"/>
        </w:rPr>
        <w:t xml:space="preserve">  </w:t>
      </w:r>
      <w:r>
        <w:rPr>
          <w:rFonts w:asciiTheme="majorEastAsia" w:hAnsiTheme="majorEastAsia" w:eastAsiaTheme="majorEastAsia"/>
          <w:sz w:val="24"/>
        </w:rPr>
        <w:object>
          <v:shape id="_x0000_i1031" o:spt="75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39">
            <o:LockedField>false</o:LockedField>
          </o:OLEObject>
        </w:object>
      </w:r>
      <w:r>
        <w:rPr>
          <w:rFonts w:asciiTheme="majorEastAsia" w:hAnsiTheme="majorEastAsia" w:eastAsiaTheme="majorEastAsia"/>
          <w:sz w:val="24"/>
        </w:rPr>
        <w:t xml:space="preserve">   </w:t>
      </w:r>
      <w:r>
        <w:rPr>
          <w:rFonts w:asciiTheme="majorEastAsia" w:hAnsiTheme="majorEastAsia" w:eastAsiaTheme="majorEastAsia"/>
          <w:sz w:val="24"/>
        </w:rPr>
        <w:object>
          <v:shape id="_x0000_i1032" o:spt="75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41">
            <o:LockedField>false</o:LockedField>
          </o:OLEObject>
        </w:object>
      </w:r>
    </w:p>
    <w:p w14:paraId="1A9AC8B9">
      <w:pPr>
        <w:jc w:val="left"/>
        <w:rPr>
          <w:rFonts w:asciiTheme="majorEastAsia" w:hAnsiTheme="majorEastAsia" w:eastAsiaTheme="majorEastAsia"/>
          <w:sz w:val="24"/>
        </w:rPr>
      </w:pPr>
      <w:r>
        <w:rPr>
          <w:rFonts w:asciiTheme="majorEastAsia" w:hAnsiTheme="majorEastAsia" w:eastAsiaTheme="majorEastAsia"/>
          <w:sz w:val="24"/>
        </w:rPr>
        <w:t>3</w:t>
      </w:r>
      <w:r>
        <w:rPr>
          <w:rFonts w:hint="eastAsia" w:asciiTheme="majorEastAsia" w:hAnsiTheme="majorEastAsia" w:eastAsiaTheme="majorEastAsia"/>
          <w:sz w:val="24"/>
        </w:rPr>
        <w:t>、标准不确定度的评定</w:t>
      </w:r>
    </w:p>
    <w:p w14:paraId="47EF1DBC">
      <w:pPr>
        <w:jc w:val="left"/>
        <w:textAlignment w:val="center"/>
        <w:rPr>
          <w:rFonts w:asciiTheme="majorEastAsia" w:hAnsiTheme="majorEastAsia" w:eastAsiaTheme="majorEastAsia"/>
          <w:sz w:val="24"/>
        </w:rPr>
      </w:pPr>
      <w:r>
        <w:rPr>
          <w:rFonts w:asciiTheme="majorEastAsia" w:hAnsiTheme="majorEastAsia" w:eastAsiaTheme="majorEastAsia"/>
          <w:sz w:val="24"/>
        </w:rPr>
        <w:t>3.1</w:t>
      </w:r>
      <w:r>
        <w:rPr>
          <w:rFonts w:hint="eastAsia" w:asciiTheme="majorEastAsia" w:hAnsiTheme="majorEastAsia" w:eastAsiaTheme="majorEastAsia"/>
          <w:sz w:val="24"/>
        </w:rPr>
        <w:t>由标准物质不确定度的引入的标准不确定度</w:t>
      </w:r>
      <w:r>
        <w:rPr>
          <w:rFonts w:asciiTheme="majorEastAsia" w:hAnsiTheme="majorEastAsia" w:eastAsiaTheme="majorEastAsia"/>
          <w:sz w:val="24"/>
        </w:rPr>
        <w:object>
          <v:shape id="_x0000_i1033" o:spt="75" type="#_x0000_t75" style="height:18pt;width:24.7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43">
            <o:LockedField>false</o:LockedField>
          </o:OLEObject>
        </w:object>
      </w:r>
    </w:p>
    <w:p w14:paraId="6C30FA44">
      <w:pPr>
        <w:ind w:firstLine="480" w:firstLineChars="200"/>
        <w:jc w:val="left"/>
        <w:textAlignment w:val="center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用</w:t>
      </w:r>
      <w:r>
        <w:rPr>
          <w:rFonts w:asciiTheme="majorEastAsia" w:hAnsiTheme="majorEastAsia" w:eastAsiaTheme="majorEastAsia"/>
          <w:sz w:val="24"/>
        </w:rPr>
        <w:t>B</w:t>
      </w:r>
      <w:r>
        <w:rPr>
          <w:rFonts w:hint="eastAsia" w:asciiTheme="majorEastAsia" w:hAnsiTheme="majorEastAsia" w:eastAsiaTheme="majorEastAsia"/>
          <w:sz w:val="24"/>
        </w:rPr>
        <w:t>类标准不确定度方法评定，由标准物质证书可得，标准物质的不确定度为</w:t>
      </w:r>
      <w:r>
        <w:rPr>
          <w:rFonts w:hint="eastAsia" w:asciiTheme="majorEastAsia" w:hAnsiTheme="majorEastAsia" w:eastAsiaTheme="majorEastAsia"/>
          <w:i/>
          <w:sz w:val="24"/>
        </w:rPr>
        <w:t>U</w:t>
      </w:r>
      <w:r>
        <w:rPr>
          <w:rFonts w:hint="eastAsia" w:asciiTheme="majorEastAsia" w:hAnsiTheme="majorEastAsia" w:eastAsiaTheme="majorEastAsia"/>
          <w:sz w:val="24"/>
        </w:rPr>
        <w:t>=0.3针入度，</w:t>
      </w:r>
      <w:r>
        <w:rPr>
          <w:rFonts w:hint="eastAsia" w:asciiTheme="majorEastAsia" w:hAnsiTheme="majorEastAsia" w:eastAsiaTheme="majorEastAsia"/>
          <w:i/>
          <w:iCs/>
          <w:sz w:val="24"/>
        </w:rPr>
        <w:t>k</w:t>
      </w:r>
      <w:r>
        <w:rPr>
          <w:rFonts w:hint="eastAsia" w:asciiTheme="majorEastAsia" w:hAnsiTheme="majorEastAsia" w:eastAsiaTheme="majorEastAsia"/>
          <w:sz w:val="24"/>
        </w:rPr>
        <w:t>=2，所以</w:t>
      </w:r>
      <w:r>
        <w:rPr>
          <w:rFonts w:hint="eastAsia" w:asciiTheme="majorEastAsia" w:hAnsiTheme="majorEastAsia" w:eastAsiaTheme="majorEastAsia"/>
          <w:sz w:val="24"/>
        </w:rPr>
        <w:object>
          <v:shape id="_x0000_i1034" o:spt="75" type="#_x0000_t75" style="height:31pt;width:87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45">
            <o:LockedField>false</o:LockedField>
          </o:OLEObject>
        </w:object>
      </w:r>
      <w:r>
        <w:rPr>
          <w:rFonts w:hint="eastAsia" w:asciiTheme="majorEastAsia" w:hAnsiTheme="majorEastAsia" w:eastAsiaTheme="majorEastAsia"/>
          <w:sz w:val="24"/>
        </w:rPr>
        <w:t>针入度。</w:t>
      </w:r>
    </w:p>
    <w:p w14:paraId="3B416A99">
      <w:pPr>
        <w:jc w:val="left"/>
        <w:textAlignment w:val="center"/>
        <w:rPr>
          <w:rFonts w:asciiTheme="majorEastAsia" w:hAnsiTheme="majorEastAsia" w:eastAsiaTheme="majorEastAsia"/>
          <w:sz w:val="24"/>
        </w:rPr>
      </w:pPr>
      <w:r>
        <w:rPr>
          <w:rFonts w:asciiTheme="majorEastAsia" w:hAnsiTheme="majorEastAsia" w:eastAsiaTheme="majorEastAsia"/>
          <w:sz w:val="24"/>
        </w:rPr>
        <w:t>3.2</w:t>
      </w:r>
      <w:r>
        <w:rPr>
          <w:rFonts w:hint="eastAsia" w:asciiTheme="majorEastAsia" w:hAnsiTheme="majorEastAsia" w:eastAsiaTheme="majorEastAsia"/>
          <w:sz w:val="24"/>
        </w:rPr>
        <w:t>被校准</w:t>
      </w:r>
      <w:r>
        <w:rPr>
          <w:rFonts w:hint="eastAsia" w:asciiTheme="majorEastAsia" w:hAnsiTheme="majorEastAsia" w:eastAsiaTheme="majorEastAsia"/>
          <w:bCs/>
          <w:sz w:val="24"/>
        </w:rPr>
        <w:t>石油蜡针入度试验仪</w:t>
      </w:r>
      <w:r>
        <w:rPr>
          <w:rFonts w:hint="eastAsia" w:asciiTheme="majorEastAsia" w:hAnsiTheme="majorEastAsia" w:eastAsiaTheme="majorEastAsia"/>
          <w:sz w:val="24"/>
        </w:rPr>
        <w:t>示值重复性引入的标准不确定度</w:t>
      </w:r>
      <w:r>
        <w:rPr>
          <w:rFonts w:asciiTheme="majorEastAsia" w:hAnsiTheme="majorEastAsia" w:eastAsiaTheme="majorEastAsia"/>
          <w:sz w:val="24"/>
        </w:rPr>
        <w:object>
          <v:shape id="_x0000_i1035" o:spt="75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47">
            <o:LockedField>false</o:LockedField>
          </o:OLEObject>
        </w:object>
      </w:r>
    </w:p>
    <w:p w14:paraId="4E5A1CEA">
      <w:pPr>
        <w:ind w:firstLine="480" w:firstLineChars="200"/>
        <w:jc w:val="left"/>
        <w:textAlignment w:val="center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用</w:t>
      </w:r>
      <w:r>
        <w:rPr>
          <w:rFonts w:asciiTheme="majorEastAsia" w:hAnsiTheme="majorEastAsia" w:eastAsiaTheme="majorEastAsia"/>
          <w:sz w:val="24"/>
        </w:rPr>
        <w:t>A</w:t>
      </w:r>
      <w:r>
        <w:rPr>
          <w:rFonts w:hint="eastAsia" w:asciiTheme="majorEastAsia" w:hAnsiTheme="majorEastAsia" w:eastAsiaTheme="majorEastAsia"/>
          <w:sz w:val="24"/>
        </w:rPr>
        <w:t>类标准不确定度方法评定，使用190针入度的标准物质校准</w:t>
      </w:r>
      <w:r>
        <w:rPr>
          <w:rFonts w:hint="eastAsia" w:asciiTheme="majorEastAsia" w:hAnsiTheme="majorEastAsia" w:eastAsiaTheme="majorEastAsia"/>
          <w:bCs/>
          <w:sz w:val="24"/>
        </w:rPr>
        <w:t>石油蜡针入度测定仪</w:t>
      </w:r>
      <w:r>
        <w:rPr>
          <w:rFonts w:hint="eastAsia" w:asciiTheme="majorEastAsia" w:hAnsiTheme="majorEastAsia" w:eastAsiaTheme="majorEastAsia"/>
          <w:sz w:val="24"/>
        </w:rPr>
        <w:t>为例，重复测量10次，测量结果如表2所示。</w:t>
      </w:r>
    </w:p>
    <w:p w14:paraId="2AA6FBC2">
      <w:pPr>
        <w:ind w:firstLine="480" w:firstLineChars="200"/>
        <w:jc w:val="center"/>
        <w:textAlignment w:val="center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表2</w:t>
      </w:r>
      <w:r>
        <w:rPr>
          <w:rFonts w:hint="eastAsia" w:asciiTheme="majorEastAsia" w:hAnsiTheme="majorEastAsia" w:eastAsiaTheme="majorEastAsia"/>
          <w:bCs/>
          <w:sz w:val="24"/>
        </w:rPr>
        <w:t>石油蜡针入度测定仪的测量结果</w:t>
      </w:r>
    </w:p>
    <w:tbl>
      <w:tblPr>
        <w:tblStyle w:val="19"/>
        <w:tblW w:w="5096" w:type="pct"/>
        <w:tblInd w:w="-18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6"/>
        <w:gridCol w:w="771"/>
        <w:gridCol w:w="773"/>
        <w:gridCol w:w="773"/>
        <w:gridCol w:w="773"/>
        <w:gridCol w:w="773"/>
        <w:gridCol w:w="773"/>
        <w:gridCol w:w="773"/>
        <w:gridCol w:w="773"/>
        <w:gridCol w:w="773"/>
        <w:gridCol w:w="773"/>
      </w:tblGrid>
      <w:tr w14:paraId="50A9F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17" w:type="pct"/>
            <w:vAlign w:val="center"/>
          </w:tcPr>
          <w:p w14:paraId="74619FAE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次数</w:t>
            </w:r>
          </w:p>
          <w:p w14:paraId="148D11B6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（针入度）</w:t>
            </w:r>
          </w:p>
        </w:tc>
        <w:tc>
          <w:tcPr>
            <w:tcW w:w="407" w:type="pct"/>
            <w:vAlign w:val="center"/>
          </w:tcPr>
          <w:p w14:paraId="67039A76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1</w:t>
            </w:r>
          </w:p>
        </w:tc>
        <w:tc>
          <w:tcPr>
            <w:tcW w:w="408" w:type="pct"/>
            <w:vAlign w:val="center"/>
          </w:tcPr>
          <w:p w14:paraId="7050FB26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2</w:t>
            </w:r>
          </w:p>
        </w:tc>
        <w:tc>
          <w:tcPr>
            <w:tcW w:w="408" w:type="pct"/>
            <w:vAlign w:val="center"/>
          </w:tcPr>
          <w:p w14:paraId="659BE583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3</w:t>
            </w:r>
          </w:p>
        </w:tc>
        <w:tc>
          <w:tcPr>
            <w:tcW w:w="408" w:type="pct"/>
            <w:vAlign w:val="center"/>
          </w:tcPr>
          <w:p w14:paraId="346B97F1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4</w:t>
            </w:r>
          </w:p>
        </w:tc>
        <w:tc>
          <w:tcPr>
            <w:tcW w:w="408" w:type="pct"/>
            <w:vAlign w:val="center"/>
          </w:tcPr>
          <w:p w14:paraId="6ECE3717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5</w:t>
            </w:r>
          </w:p>
        </w:tc>
        <w:tc>
          <w:tcPr>
            <w:tcW w:w="408" w:type="pct"/>
            <w:vAlign w:val="center"/>
          </w:tcPr>
          <w:p w14:paraId="767B466E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6</w:t>
            </w:r>
          </w:p>
        </w:tc>
        <w:tc>
          <w:tcPr>
            <w:tcW w:w="408" w:type="pct"/>
            <w:vAlign w:val="center"/>
          </w:tcPr>
          <w:p w14:paraId="02220B17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7</w:t>
            </w:r>
          </w:p>
        </w:tc>
        <w:tc>
          <w:tcPr>
            <w:tcW w:w="408" w:type="pct"/>
            <w:vAlign w:val="center"/>
          </w:tcPr>
          <w:p w14:paraId="40C83B7D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8</w:t>
            </w:r>
          </w:p>
        </w:tc>
        <w:tc>
          <w:tcPr>
            <w:tcW w:w="408" w:type="pct"/>
            <w:vAlign w:val="center"/>
          </w:tcPr>
          <w:p w14:paraId="2FC2995A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9</w:t>
            </w:r>
          </w:p>
        </w:tc>
        <w:tc>
          <w:tcPr>
            <w:tcW w:w="408" w:type="pct"/>
            <w:vAlign w:val="center"/>
          </w:tcPr>
          <w:p w14:paraId="147E5C21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10</w:t>
            </w:r>
          </w:p>
        </w:tc>
      </w:tr>
      <w:tr w14:paraId="4E750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17" w:type="pct"/>
            <w:vAlign w:val="center"/>
          </w:tcPr>
          <w:p w14:paraId="01E07944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测量值</w:t>
            </w:r>
          </w:p>
        </w:tc>
        <w:tc>
          <w:tcPr>
            <w:tcW w:w="407" w:type="pct"/>
            <w:vAlign w:val="center"/>
          </w:tcPr>
          <w:p w14:paraId="2042BF69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szCs w:val="21"/>
              </w:rPr>
              <w:t>190.5</w:t>
            </w:r>
          </w:p>
        </w:tc>
        <w:tc>
          <w:tcPr>
            <w:tcW w:w="408" w:type="pct"/>
            <w:vAlign w:val="center"/>
          </w:tcPr>
          <w:p w14:paraId="4B570886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szCs w:val="21"/>
              </w:rPr>
              <w:t>190.2</w:t>
            </w:r>
          </w:p>
        </w:tc>
        <w:tc>
          <w:tcPr>
            <w:tcW w:w="408" w:type="pct"/>
            <w:vAlign w:val="center"/>
          </w:tcPr>
          <w:p w14:paraId="59A3DD4E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szCs w:val="21"/>
              </w:rPr>
              <w:t>190.3</w:t>
            </w:r>
          </w:p>
        </w:tc>
        <w:tc>
          <w:tcPr>
            <w:tcW w:w="408" w:type="pct"/>
            <w:vAlign w:val="center"/>
          </w:tcPr>
          <w:p w14:paraId="5DB1F09C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szCs w:val="21"/>
              </w:rPr>
              <w:t>190.2</w:t>
            </w:r>
          </w:p>
        </w:tc>
        <w:tc>
          <w:tcPr>
            <w:tcW w:w="408" w:type="pct"/>
            <w:vAlign w:val="center"/>
          </w:tcPr>
          <w:p w14:paraId="06168FBF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szCs w:val="21"/>
              </w:rPr>
              <w:t>190.2</w:t>
            </w:r>
          </w:p>
        </w:tc>
        <w:tc>
          <w:tcPr>
            <w:tcW w:w="408" w:type="pct"/>
            <w:vAlign w:val="center"/>
          </w:tcPr>
          <w:p w14:paraId="15E7AAEF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szCs w:val="21"/>
              </w:rPr>
              <w:t>190.0</w:t>
            </w:r>
          </w:p>
        </w:tc>
        <w:tc>
          <w:tcPr>
            <w:tcW w:w="408" w:type="pct"/>
            <w:vAlign w:val="center"/>
          </w:tcPr>
          <w:p w14:paraId="1311A104"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190.6</w:t>
            </w:r>
          </w:p>
        </w:tc>
        <w:tc>
          <w:tcPr>
            <w:tcW w:w="408" w:type="pct"/>
            <w:vAlign w:val="center"/>
          </w:tcPr>
          <w:p w14:paraId="753FFEEC"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190.6</w:t>
            </w:r>
          </w:p>
        </w:tc>
        <w:tc>
          <w:tcPr>
            <w:tcW w:w="408" w:type="pct"/>
            <w:vAlign w:val="center"/>
          </w:tcPr>
          <w:p w14:paraId="61B08C4F"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190.3</w:t>
            </w:r>
          </w:p>
        </w:tc>
        <w:tc>
          <w:tcPr>
            <w:tcW w:w="408" w:type="pct"/>
            <w:vAlign w:val="center"/>
          </w:tcPr>
          <w:p w14:paraId="0D37BAE0">
            <w:pPr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190.7</w:t>
            </w:r>
          </w:p>
        </w:tc>
      </w:tr>
    </w:tbl>
    <w:p w14:paraId="15888FC9">
      <w:pPr>
        <w:jc w:val="left"/>
        <w:textAlignment w:val="center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用贝塞尔公式计算单次实验标准差</w:t>
      </w:r>
      <w:r>
        <w:rPr>
          <w:rFonts w:hint="eastAsia" w:asciiTheme="majorEastAsia" w:hAnsiTheme="majorEastAsia" w:eastAsiaTheme="majorEastAsia"/>
          <w:sz w:val="24"/>
        </w:rPr>
        <w:object>
          <v:shape id="_x0000_i1036" o:spt="75" type="#_x0000_t75" style="height:52pt;width:153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49">
            <o:LockedField>false</o:LockedField>
          </o:OLEObject>
        </w:object>
      </w:r>
    </w:p>
    <w:p w14:paraId="4A7E5E9C">
      <w:pPr>
        <w:jc w:val="left"/>
        <w:textAlignment w:val="center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 xml:space="preserve">由于常规测量通常测量三次， </w:t>
      </w:r>
      <w:r>
        <w:rPr>
          <w:rFonts w:hint="eastAsia" w:asciiTheme="majorEastAsia" w:hAnsiTheme="majorEastAsia" w:eastAsiaTheme="majorEastAsia"/>
          <w:sz w:val="24"/>
        </w:rPr>
        <w:object>
          <v:shape id="_x0000_i1037" o:spt="75" type="#_x0000_t75" style="height:33pt;width:12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51">
            <o:LockedField>false</o:LockedField>
          </o:OLEObject>
        </w:object>
      </w:r>
    </w:p>
    <w:p w14:paraId="3EB8B1B3">
      <w:pPr>
        <w:jc w:val="left"/>
        <w:rPr>
          <w:rFonts w:asciiTheme="majorEastAsia" w:hAnsiTheme="majorEastAsia" w:eastAsiaTheme="majorEastAsia"/>
          <w:sz w:val="24"/>
        </w:rPr>
      </w:pPr>
      <w:r>
        <w:rPr>
          <w:rFonts w:asciiTheme="majorEastAsia" w:hAnsiTheme="majorEastAsia" w:eastAsiaTheme="majorEastAsia"/>
          <w:sz w:val="24"/>
        </w:rPr>
        <w:t>4</w:t>
      </w:r>
      <w:r>
        <w:rPr>
          <w:rFonts w:hint="eastAsia" w:asciiTheme="majorEastAsia" w:hAnsiTheme="majorEastAsia" w:eastAsiaTheme="majorEastAsia"/>
          <w:sz w:val="24"/>
        </w:rPr>
        <w:t>、标准不确定度汇总见下表3</w:t>
      </w:r>
    </w:p>
    <w:p w14:paraId="6CBC356C">
      <w:pPr>
        <w:jc w:val="center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表3</w:t>
      </w:r>
      <w:r>
        <w:rPr>
          <w:rFonts w:asciiTheme="majorEastAsia" w:hAnsiTheme="majorEastAsia" w:eastAsiaTheme="majorEastAsia"/>
          <w:sz w:val="24"/>
        </w:rPr>
        <w:t xml:space="preserve">. </w:t>
      </w:r>
      <w:r>
        <w:rPr>
          <w:rFonts w:hint="eastAsia" w:asciiTheme="majorEastAsia" w:hAnsiTheme="majorEastAsia" w:eastAsiaTheme="majorEastAsia"/>
          <w:sz w:val="24"/>
        </w:rPr>
        <w:t>标准不确定度汇总表（单位：针入度）</w:t>
      </w:r>
    </w:p>
    <w:p w14:paraId="254EA119">
      <w:pPr>
        <w:jc w:val="left"/>
        <w:rPr>
          <w:rFonts w:asciiTheme="majorEastAsia" w:hAnsiTheme="majorEastAsia" w:eastAsiaTheme="majorEastAsia"/>
          <w:sz w:val="24"/>
        </w:rPr>
      </w:pPr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3"/>
        <w:gridCol w:w="1061"/>
        <w:gridCol w:w="855"/>
        <w:gridCol w:w="1183"/>
      </w:tblGrid>
      <w:tr w14:paraId="05641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4923" w:type="dxa"/>
            <w:vAlign w:val="center"/>
          </w:tcPr>
          <w:p w14:paraId="51A97DA0">
            <w:pPr>
              <w:jc w:val="center"/>
              <w:textAlignment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不确定度来源（</w:t>
            </w:r>
            <w:r>
              <w:rPr>
                <w:rFonts w:asciiTheme="majorEastAsia" w:hAnsiTheme="majorEastAsia" w:eastAsiaTheme="majorEastAsia"/>
                <w:sz w:val="24"/>
              </w:rPr>
              <w:object>
                <v:shape id="_x0000_i1038" o:spt="75" type="#_x0000_t75" style="height:18pt;width:12pt;" o:ole="t" filled="f" o:preferrelative="t" stroked="f" coordsize="21600,21600">
                  <v:path/>
                  <v:fill on="f" focussize="0,0"/>
                  <v:stroke on="f" joinstyle="miter"/>
                  <v:imagedata r:id="rId54" o:title=""/>
                  <o:lock v:ext="edit" aspectratio="t"/>
                  <w10:wrap type="none"/>
                  <w10:anchorlock/>
                </v:shape>
                <o:OLEObject Type="Embed" ProgID="Equation.DSMT4" ShapeID="_x0000_i1038" DrawAspect="Content" ObjectID="_1468075738" r:id="rId53">
                  <o:LockedField>false</o:LockedField>
                </o:OLEObject>
              </w:object>
            </w:r>
            <w:r>
              <w:rPr>
                <w:rFonts w:hint="eastAsia" w:asciiTheme="majorEastAsia" w:hAnsiTheme="majorEastAsia" w:eastAsiaTheme="majorEastAsia"/>
                <w:sz w:val="24"/>
              </w:rPr>
              <w:t>）</w:t>
            </w:r>
          </w:p>
        </w:tc>
        <w:tc>
          <w:tcPr>
            <w:tcW w:w="1061" w:type="dxa"/>
            <w:vAlign w:val="center"/>
          </w:tcPr>
          <w:p w14:paraId="793F74FB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Theme="majorEastAsia" w:hAnsiTheme="majorEastAsia" w:eastAsiaTheme="majorEastAsia"/>
                <w:sz w:val="24"/>
              </w:rPr>
              <w:object>
                <v:shape id="_x0000_i1039" o:spt="75" type="#_x0000_t75" style="height:18pt;width:12pt;" o:ole="t" filled="f" o:preferrelative="t" stroked="f" coordsize="21600,21600">
                  <v:path/>
                  <v:fill on="f" focussize="0,0"/>
                  <v:stroke on="f" joinstyle="miter"/>
                  <v:imagedata r:id="rId56" o:title=""/>
                  <o:lock v:ext="edit" aspectratio="t"/>
                  <w10:wrap type="none"/>
                  <w10:anchorlock/>
                </v:shape>
                <o:OLEObject Type="Embed" ProgID="Equation.DSMT4" ShapeID="_x0000_i1039" DrawAspect="Content" ObjectID="_1468075739" r:id="rId55">
                  <o:LockedField>false</o:LockedField>
                </o:OLEObject>
              </w:object>
            </w:r>
          </w:p>
        </w:tc>
        <w:tc>
          <w:tcPr>
            <w:tcW w:w="855" w:type="dxa"/>
            <w:vAlign w:val="center"/>
          </w:tcPr>
          <w:p w14:paraId="570F75B2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Theme="majorEastAsia" w:hAnsiTheme="majorEastAsia" w:eastAsiaTheme="majorEastAsia"/>
                <w:sz w:val="24"/>
              </w:rPr>
              <w:object>
                <v:shape id="_x0000_i1040" o:spt="75" type="#_x0000_t75" style="height:18pt;width:10.5pt;" o:ole="t" filled="f" o:preferrelative="t" stroked="f" coordsize="21600,21600">
                  <v:path/>
                  <v:fill on="f" focussize="0,0"/>
                  <v:stroke on="f" joinstyle="miter"/>
                  <v:imagedata r:id="rId58" o:title=""/>
                  <o:lock v:ext="edit" aspectratio="t"/>
                  <w10:wrap type="none"/>
                  <w10:anchorlock/>
                </v:shape>
                <o:OLEObject Type="Embed" ProgID="Equation.DSMT4" ShapeID="_x0000_i1040" DrawAspect="Content" ObjectID="_1468075740" r:id="rId57">
                  <o:LockedField>false</o:LockedField>
                </o:OLEObject>
              </w:object>
            </w:r>
          </w:p>
        </w:tc>
        <w:tc>
          <w:tcPr>
            <w:tcW w:w="1183" w:type="dxa"/>
            <w:vAlign w:val="center"/>
          </w:tcPr>
          <w:p w14:paraId="1810FA9A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Theme="majorEastAsia" w:hAnsiTheme="majorEastAsia" w:eastAsiaTheme="majorEastAsia"/>
                <w:sz w:val="24"/>
              </w:rPr>
              <w:object>
                <v:shape id="_x0000_i1041" o:spt="75" type="#_x0000_t75" style="height:18pt;width:27pt;" o:ole="t" filled="f" o:preferrelative="t" stroked="f" coordsize="21600,21600">
                  <v:path/>
                  <v:fill on="f" focussize="0,0"/>
                  <v:stroke on="f" joinstyle="miter"/>
                  <v:imagedata r:id="rId60" o:title=""/>
                  <o:lock v:ext="edit" aspectratio="t"/>
                  <w10:wrap type="none"/>
                  <w10:anchorlock/>
                </v:shape>
                <o:OLEObject Type="Embed" ProgID="Equation.DSMT4" ShapeID="_x0000_i1041" DrawAspect="Content" ObjectID="_1468075741" r:id="rId59">
                  <o:LockedField>false</o:LockedField>
                </o:OLEObject>
              </w:object>
            </w:r>
          </w:p>
        </w:tc>
      </w:tr>
      <w:tr w14:paraId="2DCB8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4923" w:type="dxa"/>
            <w:vAlign w:val="center"/>
          </w:tcPr>
          <w:p w14:paraId="560CC331">
            <w:pPr>
              <w:jc w:val="center"/>
              <w:textAlignment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标准物质认定值不确定度</w:t>
            </w:r>
            <w:r>
              <w:rPr>
                <w:rFonts w:asciiTheme="majorEastAsia" w:hAnsiTheme="majorEastAsia" w:eastAsiaTheme="majorEastAsia"/>
                <w:sz w:val="24"/>
              </w:rPr>
              <w:object>
                <v:shape id="_x0000_i1042" o:spt="75" type="#_x0000_t75" style="height:18pt;width:24.75pt;" o:ole="t" filled="f" o:preferrelative="t" stroked="f" coordsize="21600,21600">
                  <v:path/>
                  <v:fill on="f" focussize="0,0"/>
                  <v:stroke on="f" joinstyle="miter"/>
                  <v:imagedata r:id="rId62" o:title=""/>
                  <o:lock v:ext="edit" aspectratio="t"/>
                  <w10:wrap type="none"/>
                  <w10:anchorlock/>
                </v:shape>
                <o:OLEObject Type="Embed" ProgID="Equation.DSMT4" ShapeID="_x0000_i1042" DrawAspect="Content" ObjectID="_1468075742" r:id="rId61">
                  <o:LockedField>false</o:LockedField>
                </o:OLEObject>
              </w:object>
            </w:r>
          </w:p>
        </w:tc>
        <w:tc>
          <w:tcPr>
            <w:tcW w:w="1061" w:type="dxa"/>
            <w:vAlign w:val="center"/>
          </w:tcPr>
          <w:p w14:paraId="59C6BEFF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0.3</w:t>
            </w:r>
          </w:p>
        </w:tc>
        <w:tc>
          <w:tcPr>
            <w:tcW w:w="855" w:type="dxa"/>
            <w:vAlign w:val="center"/>
          </w:tcPr>
          <w:p w14:paraId="7A391A42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2</w:t>
            </w:r>
          </w:p>
        </w:tc>
        <w:tc>
          <w:tcPr>
            <w:tcW w:w="1183" w:type="dxa"/>
            <w:vAlign w:val="center"/>
          </w:tcPr>
          <w:p w14:paraId="4FBE8C36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0.15</w:t>
            </w:r>
          </w:p>
        </w:tc>
      </w:tr>
      <w:tr w14:paraId="1BDE8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4923" w:type="dxa"/>
            <w:vAlign w:val="center"/>
          </w:tcPr>
          <w:p w14:paraId="5C5BE56A">
            <w:pPr>
              <w:jc w:val="center"/>
              <w:textAlignment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石油产品针（锥）入度测定仪测量</w:t>
            </w:r>
            <w:r>
              <w:rPr>
                <w:rFonts w:hint="eastAsia" w:asciiTheme="majorEastAsia" w:hAnsiTheme="majorEastAsia" w:eastAsiaTheme="majorEastAsia"/>
                <w:sz w:val="24"/>
              </w:rPr>
              <w:t>重复性</w:t>
            </w:r>
            <w:r>
              <w:rPr>
                <w:rFonts w:asciiTheme="majorEastAsia" w:hAnsiTheme="majorEastAsia" w:eastAsiaTheme="majorEastAsia"/>
                <w:sz w:val="24"/>
              </w:rPr>
              <w:object>
                <v:shape id="_x0000_i1043" o:spt="75" type="#_x0000_t75" style="height:15.75pt;width:21.75pt;" o:ole="t" filled="f" o:preferrelative="t" stroked="f" coordsize="21600,21600">
                  <v:path/>
                  <v:fill on="f" focussize="0,0"/>
                  <v:stroke on="f" joinstyle="miter"/>
                  <v:imagedata r:id="rId64" o:title=""/>
                  <o:lock v:ext="edit" aspectratio="t"/>
                  <w10:wrap type="none"/>
                  <w10:anchorlock/>
                </v:shape>
                <o:OLEObject Type="Embed" ProgID="Equation.DSMT4" ShapeID="_x0000_i1043" DrawAspect="Content" ObjectID="_1468075743" r:id="rId63">
                  <o:LockedField>false</o:LockedField>
                </o:OLEObject>
              </w:object>
            </w:r>
          </w:p>
        </w:tc>
        <w:tc>
          <w:tcPr>
            <w:tcW w:w="1061" w:type="dxa"/>
            <w:vAlign w:val="center"/>
          </w:tcPr>
          <w:p w14:paraId="12788652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Theme="majorEastAsia" w:hAnsiTheme="majorEastAsia" w:eastAsiaTheme="majorEastAsia"/>
                <w:sz w:val="24"/>
              </w:rPr>
              <w:t>0.</w:t>
            </w:r>
            <w:r>
              <w:rPr>
                <w:rFonts w:hint="eastAsia" w:asciiTheme="majorEastAsia" w:hAnsiTheme="majorEastAsia" w:eastAsiaTheme="majorEastAsia"/>
                <w:sz w:val="24"/>
              </w:rPr>
              <w:t>006</w:t>
            </w:r>
          </w:p>
        </w:tc>
        <w:tc>
          <w:tcPr>
            <w:tcW w:w="855" w:type="dxa"/>
            <w:vAlign w:val="center"/>
          </w:tcPr>
          <w:p w14:paraId="0C312761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asciiTheme="majorEastAsia" w:hAnsiTheme="majorEastAsia" w:eastAsiaTheme="majorEastAsia"/>
                <w:sz w:val="24"/>
              </w:rPr>
              <w:object>
                <v:shape id="_x0000_i1044" o:spt="75" type="#_x0000_t75" style="height:18pt;width:18pt;" o:ole="t" filled="f" o:preferrelative="t" stroked="f" coordsize="21600,21600">
                  <v:path/>
                  <v:fill on="f" focussize="0,0"/>
                  <v:stroke on="f" joinstyle="miter"/>
                  <v:imagedata r:id="rId66" o:title=""/>
                  <o:lock v:ext="edit" aspectratio="t"/>
                  <w10:wrap type="none"/>
                  <w10:anchorlock/>
                </v:shape>
                <o:OLEObject Type="Embed" ProgID="Equation.DSMT4" ShapeID="_x0000_i1044" DrawAspect="Content" ObjectID="_1468075744" r:id="rId65">
                  <o:LockedField>false</o:LockedField>
                </o:OLEObject>
              </w:object>
            </w:r>
          </w:p>
        </w:tc>
        <w:tc>
          <w:tcPr>
            <w:tcW w:w="1183" w:type="dxa"/>
            <w:vAlign w:val="center"/>
          </w:tcPr>
          <w:p w14:paraId="283AEF33">
            <w:pPr>
              <w:jc w:val="center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0.003</w:t>
            </w:r>
          </w:p>
        </w:tc>
      </w:tr>
    </w:tbl>
    <w:p w14:paraId="64A6FCF7">
      <w:pPr>
        <w:jc w:val="left"/>
        <w:rPr>
          <w:rFonts w:asciiTheme="majorEastAsia" w:hAnsiTheme="majorEastAsia" w:eastAsiaTheme="majorEastAsia"/>
          <w:sz w:val="24"/>
        </w:rPr>
      </w:pPr>
      <w:r>
        <w:rPr>
          <w:rFonts w:asciiTheme="majorEastAsia" w:hAnsiTheme="majorEastAsia" w:eastAsiaTheme="majorEastAsia"/>
          <w:sz w:val="24"/>
        </w:rPr>
        <w:t>5</w:t>
      </w:r>
      <w:r>
        <w:rPr>
          <w:rFonts w:hint="eastAsia" w:asciiTheme="majorEastAsia" w:hAnsiTheme="majorEastAsia" w:eastAsiaTheme="majorEastAsia"/>
          <w:sz w:val="24"/>
        </w:rPr>
        <w:t>、合成标准不确定度的评定</w:t>
      </w:r>
    </w:p>
    <w:p w14:paraId="3EFFA821">
      <w:pPr>
        <w:ind w:firstLine="480" w:firstLineChars="200"/>
        <w:jc w:val="left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以上各项标准不确定度分量是互不相关的，所以合成标准不确定度为：</w:t>
      </w:r>
    </w:p>
    <w:p w14:paraId="5FCF1DE8">
      <w:pPr>
        <w:jc w:val="center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position w:val="-14"/>
          <w:sz w:val="24"/>
        </w:rPr>
        <w:object>
          <v:shape id="_x0000_i1045" o:spt="75" type="#_x0000_t75" style="height:23pt;width:191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67">
            <o:LockedField>false</o:LockedField>
          </o:OLEObject>
        </w:object>
      </w:r>
    </w:p>
    <w:p w14:paraId="6103FF1D">
      <w:pPr>
        <w:jc w:val="left"/>
        <w:rPr>
          <w:rFonts w:asciiTheme="majorEastAsia" w:hAnsiTheme="majorEastAsia" w:eastAsiaTheme="majorEastAsia"/>
          <w:sz w:val="24"/>
        </w:rPr>
      </w:pPr>
      <w:r>
        <w:rPr>
          <w:rFonts w:asciiTheme="majorEastAsia" w:hAnsiTheme="majorEastAsia" w:eastAsiaTheme="majorEastAsia"/>
          <w:sz w:val="24"/>
        </w:rPr>
        <w:t>6</w:t>
      </w:r>
      <w:r>
        <w:rPr>
          <w:rFonts w:hint="eastAsia" w:asciiTheme="majorEastAsia" w:hAnsiTheme="majorEastAsia" w:eastAsiaTheme="majorEastAsia"/>
          <w:sz w:val="24"/>
        </w:rPr>
        <w:t>、扩展不确定度的确定</w:t>
      </w:r>
    </w:p>
    <w:p w14:paraId="3E08BB8A">
      <w:pPr>
        <w:ind w:firstLine="480" w:firstLineChars="200"/>
        <w:jc w:val="left"/>
        <w:textAlignment w:val="center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取包含因子</w:t>
      </w:r>
      <w:r>
        <w:rPr>
          <w:rFonts w:asciiTheme="majorEastAsia" w:hAnsiTheme="majorEastAsia" w:eastAsiaTheme="majorEastAsia"/>
          <w:i/>
          <w:sz w:val="24"/>
        </w:rPr>
        <w:t>k</w:t>
      </w:r>
      <w:r>
        <w:rPr>
          <w:rFonts w:hint="eastAsia" w:asciiTheme="majorEastAsia" w:hAnsiTheme="majorEastAsia" w:eastAsiaTheme="majorEastAsia"/>
          <w:sz w:val="24"/>
        </w:rPr>
        <w:t>＝</w:t>
      </w:r>
      <w:r>
        <w:rPr>
          <w:rFonts w:asciiTheme="majorEastAsia" w:hAnsiTheme="majorEastAsia" w:eastAsiaTheme="majorEastAsia"/>
          <w:sz w:val="24"/>
        </w:rPr>
        <w:t>2</w:t>
      </w:r>
      <w:r>
        <w:rPr>
          <w:rFonts w:hint="eastAsia" w:asciiTheme="majorEastAsia" w:hAnsiTheme="majorEastAsia" w:eastAsiaTheme="majorEastAsia"/>
          <w:sz w:val="24"/>
        </w:rPr>
        <w:t>，则：</w:t>
      </w:r>
      <w:r>
        <w:rPr>
          <w:rFonts w:hint="eastAsia" w:asciiTheme="majorEastAsia" w:hAnsiTheme="majorEastAsia" w:eastAsiaTheme="majorEastAsia"/>
          <w:sz w:val="24"/>
        </w:rPr>
        <w:object>
          <v:shape id="_x0000_i1046" o:spt="75" type="#_x0000_t75" style="height:18pt;width:141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69">
            <o:LockedField>false</o:LockedField>
          </o:OLEObject>
        </w:object>
      </w:r>
    </w:p>
    <w:p w14:paraId="2A29AD17">
      <w:pPr>
        <w:jc w:val="center"/>
        <w:rPr>
          <w:rFonts w:eastAsia="黑体"/>
          <w:b/>
          <w:sz w:val="28"/>
          <w:szCs w:val="28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1409700</wp:posOffset>
                </wp:positionH>
                <wp:positionV relativeFrom="paragraph">
                  <wp:posOffset>-7112000</wp:posOffset>
                </wp:positionV>
                <wp:extent cx="2971800" cy="0"/>
                <wp:effectExtent l="0" t="7620" r="0" b="15240"/>
                <wp:wrapSquare wrapText="right"/>
                <wp:docPr id="3" name="直线 6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83" o:spid="_x0000_s1026" o:spt="20" style="position:absolute;left:0pt;margin-left:111pt;margin-top:-560pt;height:0pt;width:234pt;mso-wrap-distance-bottom:0pt;mso-wrap-distance-left:9pt;mso-wrap-distance-right:9pt;mso-wrap-distance-top:0pt;z-index:251666432;mso-width-relative:page;mso-height-relative:page;" filled="f" stroked="t" coordsize="21600,21600" o:gfxdata="UEsDBAoAAAAAAIdO4kAAAAAAAAAAAAAAAAAEAAAAZHJzL1BLAwQUAAAACACHTuJAELvggtgAAAAP&#10;AQAADwAAAGRycy9kb3ducmV2LnhtbE2PzU7DMBCE70i8g7WVuLVOItRCiFOhSkhcKGrhAdx4m0SN&#10;11G8/Umfnu0FuO3PaOabYnnxnTrhENtABtJZAgqpCq6l2sD319v0CVRkS852gdDAiBGW5f1dYXMX&#10;zrTB05ZrJSYUc2ugYe5zrWPVoLdxFnok+e3D4C3LOtTaDfYs5r7TWZLMtbctSUJje1w1WB22R29g&#10;swrrxWv/+Pm+5o/94nodsapHYx4mafICivHCf2K44Qs6lMK0C0dyUXUGsiyTLmxgmqaSBEo08+fb&#10;sPu96bLQ/3uUP1BLAwQUAAAACACHTuJAUw0CpuMBAADSAwAADgAAAGRycy9lMm9Eb2MueG1srVNL&#10;btswEN0X6B0I7mvZDpK4guUs4qabojXQ9ABjkpII8AcOY9ln6TW66qbHyTU6pBynTTZeRAtqOJx5&#10;M+9xuLzZW8N2KqL2ruGzyZQz5YSX2nUN/3F/92HBGSZwEox3quEHhfxm9f7dcgi1mvveG6kiIxCH&#10;9RAa3qcU6qpC0SsLOPFBOTpsfbSQaBu7SkYYCN2aaj6dXlWDjzJELxQiedfjIT8ixnMAfdtqodZe&#10;PFjl0ogalYFElLDXAfmqdNu2SqRvbYsqMdNwYprKSkXI3ua1Wi2h7iKEXotjC3BOCy84WdCOip6g&#10;1pCAPUT9CspqET36Nk2Et9VIpChCLGbTF9p87yGowoWkxnASHd8OVnzdbSLTsuEXnDmwdOGPP389&#10;/v7DrhYXWZ0hYE1Bt24TjzsMm5ip7tto859IsH1R9HBSVO0TE+Scf7yeLaYktng6q54TQ8T0WXnL&#10;stFwo10mCzXsvmCiYhT6FJLdxrGBBvZycX1JeECj19KVk2kDtY+uK8nojZZ32picgrHb3prIdpCv&#10;v3yZEwH/F5arrAH7Ma4cjYPRK5CfnGTpEEgYR++B5x6skpwZRc8nWwQIdQJtzomk0sZRB1nWUchs&#10;bb08FH2Ln6669HgcyzxL/+5L9vNTXP0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ELvggtgAAAAP&#10;AQAADwAAAAAAAAABACAAAAAiAAAAZHJzL2Rvd25yZXYueG1sUEsBAhQAFAAAAAgAh07iQFMNAqbj&#10;AQAA0gMAAA4AAAAAAAAAAQAgAAAAJwEAAGRycy9lMm9Eb2MueG1sUEsFBgAAAAAGAAYAWQEAAHwF&#10;AAAAAA==&#10;">
                <v:fill on="f" focussize="0,0"/>
                <v:stroke weight="1.25pt" color="#000000" joinstyle="round"/>
                <v:imagedata o:title=""/>
                <o:lock v:ext="edit" aspectratio="f"/>
                <w10:wrap type="square" side="right"/>
              </v:line>
            </w:pict>
          </mc:Fallback>
        </mc:AlternateContent>
      </w:r>
    </w:p>
    <w:p w14:paraId="20670E99">
      <w:pPr>
        <w:jc w:val="center"/>
        <w:rPr>
          <w:rFonts w:eastAsia="黑体"/>
          <w:b/>
          <w:sz w:val="28"/>
          <w:szCs w:val="28"/>
        </w:rPr>
      </w:pPr>
    </w:p>
    <w:p w14:paraId="0AACD4B6">
      <w:pPr>
        <w:jc w:val="center"/>
        <w:rPr>
          <w:rFonts w:eastAsia="黑体"/>
          <w:b/>
          <w:sz w:val="28"/>
          <w:szCs w:val="28"/>
        </w:rPr>
      </w:pPr>
    </w:p>
    <w:p w14:paraId="5D16E11A">
      <w:pPr>
        <w:jc w:val="center"/>
        <w:rPr>
          <w:rFonts w:eastAsia="黑体"/>
          <w:b/>
          <w:sz w:val="28"/>
          <w:szCs w:val="28"/>
        </w:rPr>
      </w:pPr>
    </w:p>
    <w:p w14:paraId="471F6059">
      <w:pPr>
        <w:autoSpaceDE w:val="0"/>
        <w:autoSpaceDN w:val="0"/>
        <w:adjustRightInd w:val="0"/>
        <w:spacing w:before="156" w:beforeLines="50" w:after="156" w:afterLines="50" w:line="360" w:lineRule="auto"/>
        <w:jc w:val="center"/>
        <w:rPr>
          <w:sz w:val="24"/>
        </w:rPr>
      </w:pPr>
    </w:p>
    <w:p w14:paraId="32F62563">
      <w:pPr>
        <w:autoSpaceDE w:val="0"/>
        <w:autoSpaceDN w:val="0"/>
        <w:adjustRightInd w:val="0"/>
        <w:spacing w:before="156" w:beforeLines="50" w:after="156" w:afterLines="50" w:line="360" w:lineRule="auto"/>
        <w:jc w:val="center"/>
        <w:rPr>
          <w:sz w:val="24"/>
        </w:rPr>
      </w:pPr>
    </w:p>
    <w:p w14:paraId="5EDD7B28">
      <w:pPr>
        <w:autoSpaceDE w:val="0"/>
        <w:autoSpaceDN w:val="0"/>
        <w:adjustRightInd w:val="0"/>
        <w:spacing w:before="156" w:beforeLines="50" w:after="156" w:afterLines="50" w:line="360" w:lineRule="auto"/>
        <w:jc w:val="center"/>
        <w:rPr>
          <w:sz w:val="24"/>
        </w:rPr>
      </w:pPr>
    </w:p>
    <w:sectPr>
      <w:footerReference r:id="rId18" w:type="first"/>
      <w:footerReference r:id="rId16" w:type="default"/>
      <w:footerReference r:id="rId17" w:type="even"/>
      <w:pgSz w:w="11906" w:h="16838"/>
      <w:pgMar w:top="1247" w:right="1418" w:bottom="1247" w:left="1418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博雅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99AE29">
    <w:pPr>
      <w:pStyle w:val="14"/>
      <w:jc w:val="right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27E219">
    <w:pPr>
      <w:pStyle w:val="14"/>
      <w:ind w:right="360" w:firstLine="8820" w:firstLineChars="490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33985" cy="153035"/>
              <wp:effectExtent l="0" t="0" r="0" b="0"/>
              <wp:wrapNone/>
              <wp:docPr id="8" name="文本框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398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898255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10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95" o:spid="_x0000_s1026" o:spt="202" type="#_x0000_t202" style="position:absolute;left:0pt;margin-top:0pt;height:12.05pt;width:10.55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kHtdM9AAAAAD&#10;AQAADwAAAGRycy9kb3ducmV2LnhtbE2PMU/DMBCFd6T+B+sqsVHHFYIqxOlQiYWNgpDY3PgaR9jn&#10;yHbT5N9zsMByT6d3eu+7Zj8HLyZMeYikQW0qEEhdtAP1Gt7fnu92IHIxZI2PhBoWzLBvVzeNqW28&#10;0itOx9ILDqFcGw2ulLGWMncOg8mbOCKxd44pmMJr6qVN5srhwcttVT3IYAbiBmdGPDjsvo6XoOFx&#10;/og4Zjzg53nqkhuWnX9ZtL5dq+oJRMG5/B3DDz6jQ8tMp3ghm4XXwI+U38neVikQJ9Z7BbJt5H/2&#10;9htQSwMEFAAAAAgAh07iQIhDzFHIAQAAjAMAAA4AAABkcnMvZTJvRG9jLnhtbK1TzY7TMBC+I/EO&#10;lu/U6VZFu1HTFahahIQAaZcHcB27seQ/edwmfQF4A05cuPNcfQ7GTtqF5bIHLs54ZvzNfN9MVreD&#10;NeQgI2jvGjqfVZRIJ3yr3a6hXx7uXl1TAom7lhvvZEOPEujt+uWLVR9qeeU7b1oZCYI4qPvQ0C6l&#10;UDMGopOWw8wH6TCofLQ84TXuWBt5j+jWsKuqes16H9sQvZAA6N2MQTohxucAeqW0kBsv9la6NKJG&#10;aXhCStDpAHRdulVKivRJKZCJmIYi01ROLIL2Np9sveL1LvLQaTG1wJ/TwhNOlmuHRS9QG5442Uf9&#10;D5TVInrwKs2Et2wkUhRBFvPqiTb3HQ+ycEGpIVxEh/8HKz4ePkei24bi2B23OPDT92+nH79OP7+S&#10;m2XWpw9QY9p9wMQ0vPUDbs3ZD+jMtAcVbf4iIYJxVPd4UVcOiYj8aLG4uV5SIjA0Xy6qRUFnj49D&#10;hPROekuy0dCIwyua8sMHSNgIpp5Tci3n77QxZYDG/eXAxOxhufOxw2ylYTtMdLa+PSKbHufeUIdr&#10;Tol571DWvCJnI56N7WTkGhDe7BMWLv1k1BFqKoZDKm1OC5W34M97yXr8ida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JB7XTPQAAAAAwEAAA8AAAAAAAAAAQAgAAAAIgAAAGRycy9kb3ducmV2Lnht&#10;bFBLAQIUABQAAAAIAIdO4kCIQ8xRyAEAAIwDAAAOAAAAAAAAAAEAIAAAAB8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3898255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10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B63100">
    <w:pPr>
      <w:pStyle w:val="14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7310" cy="153035"/>
              <wp:effectExtent l="0" t="0" r="0" b="0"/>
              <wp:wrapNone/>
              <wp:docPr id="10" name="文本框 9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67A344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92" o:spid="_x0000_s1026" o:spt="202" type="#_x0000_t202" style="position:absolute;left:0pt;margin-top:0pt;height:12.05pt;width:5.3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Z6s1RdAAAAAD&#10;AQAADwAAAGRycy9kb3ducmV2LnhtbE2PwU7DMBBE70j8g7VI3KidCpUqxOmhEhduFITEbRtv4wh7&#10;Hdlumvw9Lhe4rDSa0czbZjd7JyaKaQisoVopEMRdMAP3Gj7eXx62IFJGNugCk4aFEuza25sGaxMu&#10;/EbTIfeilHCqUYPNeaylTJ0lj2kVRuLinUL0mIuMvTQRL6XcO7lWaiM9DlwWLI60t9R9H85ew9P8&#10;GWhMtKev09RFOyxb97pofX9XqWcQmeb8F4YrfkGHtjAdw5lNEk5DeST/3qunNiCOGtaPFci2kf/Z&#10;2x9QSwMEFAAAAAgAh07iQHmHfavFAQAAjAMAAA4AAABkcnMvZTJvRG9jLnhtbK1TzY7TMBC+I/EO&#10;lu/UaatdIGq6AlWLkBAgLTyA69iNJf/J4zbpC8AbcOLCnefqc+zYSbuwXPbAxRnPTL6Z75vx6maw&#10;hhxkBO1dQ+ezihLphG+12zX065fbF68ogcRdy413sqFHCfRm/fzZqg+1XPjOm1ZGgiAO6j40tEsp&#10;1IyB6KTlMPNBOgwqHy1PeI071kbeI7o1bFFV16z3sQ3RCwmA3s0YpBNifAqgV0oLufFib6VLI2qU&#10;hiekBJ0OQNelW6WkSJ+UApmIaSgyTeXEImhv88nWK17vIg+dFlML/CktPOJkuXZY9AK14YmTfdT/&#10;QFktogev0kx4y0YiRRFkMa8eaXPX8SALF5QawkV0+H+w4uPhcyS6xU1ASRy3OPHTj++nn79Pv76R&#10;14ssUB+gxry7gJlpeOsHTD77AZ2Z96CizV9kRDCOWMeLvHJIRKDz+uUyFxEYmV8tq+VVBmEP/4YI&#10;6Z30lmSjoRGHVzTlhw+QxtRzSi7l/K02pgzQuL8ciJk9LDc+NpitNGyHic3Wt0ck0+PcG+pwzSkx&#10;7x3Kiu2lsxHPxnYycg0Ib/YJC5d+MuoINRXDIRVG00LlLfjzXrIeHtH6H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GerNUXQAAAAAwEAAA8AAAAAAAAAAQAgAAAAIgAAAGRycy9kb3ducmV2LnhtbFBL&#10;AQIUABQAAAAIAIdO4kB5h32rxQEAAIwDAAAOAAAAAAAAAAEAIAAAAB8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767A344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237E3">
    <w:pPr>
      <w:pStyle w:val="1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6D2CDF">
    <w:pPr>
      <w:pStyle w:val="1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8C1439">
    <w:pPr>
      <w:pStyle w:val="14"/>
      <w:ind w:right="360" w:firstLine="360"/>
      <w:rPr>
        <w:rStyle w:val="22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7" name="文本框 8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2649D3"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88" o:spid="_x0000_s1026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KpsCM/IAQAAjAMAAA4AAABkcnMvZTJvRG9jLnhtbK1TS27bMBDdF+gd&#10;CO5rWonTuoLloIWRokDRBkh6AJqiLAL8gUNb8gWSG3TVTfc9l8+RISU7n26y6IYazgzfzHszWlz2&#10;RpOdDKCcrWgxmVIirXC1spuK/ry9ejenBCK3NdfOyoruJdDL5ds3i86X8sy1TtcyEASxUHa+om2M&#10;vmQMRCsNh4nz0mKwccHwiNewYXXgHaIbzc6m0/esc6H2wQkJgN7VEKQjYngNoGsaJeTKia2RNg6o&#10;QWoekRK0ygNd5m6bRor4o2lARqIrikxjPrEI2ut0suWCl5vAfavE2AJ/TQsvOBmuLBY9Qa145GQb&#10;1D9QRongwDVxIpxhA5GsCLIopi+0uWm5l5kLSg3+JDr8P1jxfXcdiKor+oESyw0O/PDr/vD77+HP&#10;HZnPkz6dhxLTbjwmxv6z63Frjn5AZ6LdN8GkLxIiGEd19yd1ZR+JSI+K2cfzC0oEhorzYja7SCjs&#10;8bEPEL9IZ0gyKhpweFlTvvsGcUg9pqRa1l0prfMAtX3mQMzkYanzocNkxX7dj3TWrt4jmw7nXlGL&#10;a06J/mpR1rQiRyMcjfVopBrgP20jFs79JNQBaiyGQ8qMxoVKW/D0nrMef6Ll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EPlfknQAAAAAwEAAA8AAAAAAAAAAQAgAAAAIgAAAGRycy9kb3ducmV2Lnht&#10;bFBLAQIUABQAAAAIAIdO4kCqbAjPyAEAAIwDAAAOAAAAAAAAAAEAIAAAAB8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12649D3"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463F7A9">
    <w:pPr>
      <w:pStyle w:val="14"/>
      <w:jc w:val="both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5BD4E9">
    <w:pPr>
      <w:pStyle w:val="14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94C73E">
    <w:pPr>
      <w:pStyle w:val="14"/>
    </w:pPr>
    <w: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82550" cy="262890"/>
              <wp:effectExtent l="0" t="0" r="0" b="0"/>
              <wp:wrapNone/>
              <wp:docPr id="13" name="文本框 1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550" cy="2628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0E1DAA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V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13" o:spid="_x0000_s1026" o:spt="202" type="#_x0000_t202" style="position:absolute;left:0pt;margin-top:0pt;height:20.7pt;width:6.5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5KmPGNAAAAAD&#10;AQAADwAAAGRycy9kb3ducmV2LnhtbE2PwU7DMBBE70j8g7VI3KiTUkEV4vRQqRduFITEbRtv4wh7&#10;Hdlumvx93V7gMtJoVjNv683krBgpxN6zgnJRgCBuve65U/D1uXtag4gJWaP1TApmirBp7u9qrLQ/&#10;8weN+9SJXMKxQgUmpaGSMraGHMaFH4hzdvTBYco2dFIHPOdyZ+WyKF6kw57zgsGBtoba3/3JKXid&#10;vj0Nkbb0cxzbYPp5bd9npR4fyuINRKIp/R3DFT+jQ5OZDv7EOgqrID+SbnrNnrM7KFiVK5BNLf+z&#10;NxdQSwMEFAAAAAgAh07iQHzUyrvHAQAAjQMAAA4AAABkcnMvZTJvRG9jLnhtbK1TzY7TMBC+I/EO&#10;lu/UbdCuStR0BaoWISFAWngA17EbS/6Tx23SF4A34MSFO8/V52DspF3YvexhL+lkZvrN930zWd0M&#10;1pCDjKC9a+hiNqdEOuFb7XYN/fb19tWSEkjctdx4Jxt6lEBv1i9frPpQy8p33rQyEgRxUPehoV1K&#10;oWYMRCcth5kP0mFR+Wh5wte4Y23kPaJbw6r5/Jr1PrYheiEBMLsZi3RCjE8B9EppITde7K10aUSN&#10;0vCEkqDTAei6sFVKivRZKZCJmIai0lSeOATjbX6y9YrXu8hDp8VEgT+FwgNNlmuHQy9QG5442Uf9&#10;CMpqET14lWbCWzYKKY6gisX8gTd3HQ+yaEGrIVxMh+eDFZ8OXyLRLV7Ca0oct7jx088fp19/Tr+/&#10;kwUm0aE+QI2NdwFb0/DOD9h9zgMms/BBRZt/URLBOvp7vPgrh0QEJpfV1RUWBFaq62r5ptjP7v8b&#10;IqT30luSg4ZG3F4xlR8+QkIe2HpuyaOcv9XGlA0a918CG3OGZeIjwRylYTtMara+PaKYHhffUId3&#10;Ton54NDXfCPnIJ6D7RTkGRDe7hMOLnwy6gg1DcMtFZrTReUz+Pe9dN1/Re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5KmPGNAAAAADAQAADwAAAAAAAAABACAAAAAiAAAAZHJzL2Rvd25yZXYueG1s&#10;UEsBAhQAFAAAAAgAh07iQHzUyrvHAQAAjQMAAA4AAAAAAAAAAQAgAAAAHw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40E1DAA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V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CB0081">
    <w:pPr>
      <w:pStyle w:val="14"/>
      <w:ind w:right="360" w:firstLine="360"/>
      <w:rPr>
        <w:rStyle w:val="22"/>
      </w:rPr>
    </w:pPr>
    <w: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0650" cy="262890"/>
              <wp:effectExtent l="0" t="0" r="0" b="0"/>
              <wp:wrapNone/>
              <wp:docPr id="14" name="文本框 1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0650" cy="2628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11D159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IV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14" o:spid="_x0000_s1026" o:spt="202" type="#_x0000_t202" style="position:absolute;left:0pt;margin-top:0pt;height:20.7pt;width:9.5pt;mso-position-horizontal:center;mso-position-horizontal-relative:margin;mso-wrap-style:none;z-index:251666432;mso-width-relative:page;mso-height-relative:page;" filled="f" stroked="f" coordsize="21600,21600" o:gfxdata="UEsDBAoAAAAAAIdO4kAAAAAAAAAAAAAAAAAEAAAAZHJzL1BLAwQUAAAACACHTuJANrtLFtAAAAAD&#10;AQAADwAAAGRycy9kb3ducmV2LnhtbE2PwU7DMBBE70j8g7VI3KiTqiolxOmhUi/caBESt228jSPs&#10;dWS7afL3uFzgMtJoVjNv6+3krBgpxN6zgnJRgCBuve65U/Bx3D9tQMSErNF6JgUzRdg293c1Vtpf&#10;+Z3GQ+pELuFYoQKT0lBJGVtDDuPCD8Q5O/vgMGUbOqkDXnO5s3JZFGvpsOe8YHCgnaH2+3BxCp6n&#10;T09DpB19ncc2mH7e2LdZqceHsngFkWhKf8dww8/o0GSmk7+wjsIqyI+kX71lL9mdFKzKFcimlv/Z&#10;mx9QSwMEFAAAAAgAh07iQBEQhrvIAQAAjgMAAA4AAABkcnMvZTJvRG9jLnhtbK1TS27bMBDdF8gd&#10;CO5jykJjpILloIWRoEDRFkh6AJqiLAL8gUNb8gXaG3TVTfc9l8/RISU7TbLJohtqODN8M+/NaHkz&#10;GE32MoBytqbzWUGJtMI1ym5r+u3h9vKaEojcNlw7K2t6kEBvVhdvlr2vZOk6pxsZCIJYqHpf0y5G&#10;XzEGopOGw8x5aTHYumB4xGvYsibwHtGNZmVRLFjvQuODExIAvesxSCfE8BpA17ZKyLUTOyNtHFGD&#10;1DwiJeiUB7rK3batFPFL24KMRNcUmcZ8YhG0N+lkqyWvtoH7TompBf6aFp5xMlxZLHqGWvPIyS6o&#10;F1BGieDAtXEmnGEjkawIspgXz7S577iXmQtKDf4sOvw/WPF5/zUQ1eAmvKXEcoMTP/78cfz15/j7&#10;O5mjExXqPVSYeO8xNQ4f3IDZJz+gMxEf2mDSFykRjKO+h7O+cohEpEdlsbjCiMBQuSiv32X92eNj&#10;HyDeSWdIMmoacHxZVb7/BBEbwdRTSqpl3a3SOo9Q2ycOTEweljofO0xWHDbDRGfjmgOy6XHyNbW4&#10;6JTojxaFTUtyMsLJ2ExGqgH+/S5i4dxPQh2hpmI4ptzmtFJpD/6956zH32j1F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Da7SxbQAAAAAwEAAA8AAAAAAAAAAQAgAAAAIgAAAGRycy9kb3ducmV2Lnht&#10;bFBLAQIUABQAAAAIAIdO4kAREIa7yAEAAI4DAAAOAAAAAAAAAAEAIAAAAB8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D11D159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IV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1" name="文本框 8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71E1CE"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88" o:spid="_x0000_s1026" o:spt="202" type="#_x0000_t202" style="position:absolute;left:0pt;margin-top:0pt;height:10.35pt;width:9.05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CCsNNrHAQAAjQMAAA4AAABkcnMvZTJvRG9jLnhtbK1TzY7TMBC+I/EO&#10;lu/UzW4XlajpClQtQkKAtPAArmM3lvwnj9ukLwBvwIkLd56rz8HYSbuwXPbAxRnPjL+Z75vJ6naw&#10;hhxkBO1dQ6vZnBLphG+12zX0y+e7F0tKIHHXcuOdbOhRAr1dP3+26kMtr3znTSsjQRAHdR8a2qUU&#10;asZAdNJymPkgHQaVj5YnvMYdayPvEd0adjWfv2S9j22IXkgA9G7GIJ0Q41MAvVJayI0XeytdGlGj&#10;NDwhJeh0ALou3SolRfqoFMhETEORaSonFkF7m0+2XvF6F3notJha4E9p4REny7XDoheoDU+c7KP+&#10;B8pqET14lWbCWzYSKYogi2r+SJv7jgdZuKDUEC6iw/+DFR8OnyLRLW5CRYnjFid++v7t9OPX6edX&#10;slxmgfoANebdB8xMwxs/YPLZD+jMvAcVbf4iI4JxlPd4kVcOiYj8qFq8ur6hRGCouq4Wi5uMwh4e&#10;hwjprfSWZKOhEadXROWH95DG1HNKruX8nTamTNC4vxyImT0sdz52mK00bIeJzta3R2TT4+Ab6nDP&#10;KTHvHOqad+RsxLOxnYxcA8LrfcLCpZ+MOkJNxXBKhdG0UXkN/ryXrIe/aP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Q+V+SdAAAAADAQAADwAAAAAAAAABACAAAAAiAAAAZHJzL2Rvd25yZXYueG1s&#10;UEsBAhQAFAAAAAgAh07iQCCsNNrHAQAAjQMAAA4AAAAAAAAAAQAgAAAAHw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B71E1CE"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02E957A1">
    <w:pPr>
      <w:pStyle w:val="14"/>
      <w:jc w:val="both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8D35C5">
    <w:pPr>
      <w:pStyle w:val="14"/>
    </w:pPr>
    <w: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9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14BBE4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I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92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2QyPlMEBAACPAwAADgAAAGRycy9lMm9Eb2MueG1srVPNjtMwEL4j8Q6W&#10;79TZHFCJmq5A1SIkBEgLD+A6dmPJf/K4TfoC8AacuHDnufocjJ2kC8tlD1yc8cz4m/m+mWxuR2vI&#10;SUbQ3rX0ZlVRIp3wnXaHln75fPdiTQkk7jpuvJMtPUugt9vnzzZDaGTte286GQmCOGiG0NI+pdAw&#10;BqKXlsPKB+kwqHy0POE1HlgX+YDo1rC6ql6ywccuRC8kAHp3U5DOiPEpgF4pLeTOi6OVLk2oURqe&#10;kBL0OgDdlm6VkiJ9VApkIqalyDSVE4ugvc8n2254c4g89FrMLfCntPCIk+XaYdEr1I4nTo5R/wNl&#10;tYgevEor4S2biBRFkMVN9Uib+54HWbig1BCuosP/gxUfTp8i0R1uQk2J4xYnfvn+7fLj1+XnV/Kq&#10;zgINARrMuw+YmcY3fsTkxQ/ozLxHFW3+IiOCcZT3fJVXjomI/Ghdr9cVhgTGlgvis4fnIUJ6K70l&#10;2WhpxPkVWfnpPaQpdUnJ1Zy/08aUGRr3lwMxs4fl3qces5XG/TgT2vvujHwGHH1LHW46JeadQ2Xz&#10;lixGXIz9bOQaEF4fExYu/WTUCWouhnMqjOadyovw571kPfxH2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DOqXm5zwAAAAUBAAAPAAAAAAAAAAEAIAAAACIAAABkcnMvZG93bnJldi54bWxQSwECFAAU&#10;AAAACACHTuJA2QyPlMEBAACPAwAADgAAAAAAAAABACAAAAAeAQAAZHJzL2Uyb0RvYy54bWxQSwUG&#10;AAAAAAYABgBZAQAAU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714BBE4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I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D71B8A">
    <w:pPr>
      <w:pStyle w:val="14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28905" cy="306705"/>
              <wp:effectExtent l="0" t="0" r="0" b="0"/>
              <wp:wrapNone/>
              <wp:docPr id="9" name="文本框 9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90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07E0F4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11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93" o:spid="_x0000_s1026" o:spt="202" type="#_x0000_t202" style="position:absolute;left:0pt;margin-top:0pt;height:24.15pt;width:10.15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045PvtEAAAAD&#10;AQAADwAAAGRycy9kb3ducmV2LnhtbE2PwU7DMBBE70j8g7VI3KjdFkEUsumhEhduFITEzY23cYS9&#10;jmw3Tf4ewwUuK41mNPO22c3eiYliGgIjrFcKBHEXzMA9wvvb810FImXNRrvAhLBQgl17fdXo2oQL&#10;v9J0yL0oJZxqjWBzHmspU2fJ67QKI3HxTiF6nYuMvTRRX0q5d3Kj1IP0euCyYPVIe0vd1+HsER7n&#10;j0Bjoj19nqYu2mGp3MuCeHuzVk8gMs35Lww/+AUd2sJ0DGc2STiE8kj+vcXbqC2II8J9tQXZNvI/&#10;e/sNUEsDBBQAAAAIAIdO4kBjueSWxwEAAIwDAAAOAAAAZHJzL2Uyb0RvYy54bWytU81uEzEQviPx&#10;DpbvxNtUlGaVTQWKipAQIBUewPHaWUv+k8fJbl4A3oATF+48V56DsXeT0vbSAxfveGb8zXzfzC5v&#10;BmvIXkbQ3jX0YlZRIp3wrXbbhn77evvqmhJI3LXceCcbepBAb1YvXyz7UMu577xpZSQI4qDuQ0O7&#10;lELNGIhOWg4zH6TDoPLR8oTXuGVt5D2iW8PmVXXFeh/bEL2QAOhdj0E6IcbnAHqltJBrL3ZWujSi&#10;Rml4QkrQ6QB0VbpVSor0WSmQiZiGItNUTiyC9iafbLXk9Tby0GkxtcCf08IjTpZrh0XPUGueONlF&#10;/QTKahE9eJVmwls2EimKIIuL6pE2dx0PsnBBqSGcRYf/Bys+7b9EotuGLihx3OLAjz9/HH/9Of7+&#10;ThaXWZ8+QI1pdwET0/DOD7g1Jz+gM9MeVLT5i4QIxlHdw1ldOSQi8qP59aJ6TYnA0GV19QZtRGf3&#10;j0OE9F56S7LR0IjDK5ry/UdIY+opJddy/lYbUwZo3AMHYmYPy52PHWYrDZthorPx7QHZ9Dj3hjpc&#10;c0rMB4ey5hU5GfFkbCYj14DwdpewcOkno45QUzEcUmE0LVTegn/vJev+J1r9B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NOOT77RAAAAAwEAAA8AAAAAAAAAAQAgAAAAIgAAAGRycy9kb3ducmV2Lnht&#10;bFBLAQIUABQAAAAIAIdO4kBjueSWxwEAAIwDAAAOAAAAAAAAAAEAIAAAACA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C07E0F4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11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6528B0">
    <w:pPr>
      <w:pStyle w:val="15"/>
      <w:rPr>
        <w:rFonts w:ascii="黑体" w:eastAsia="黑体"/>
        <w:b/>
      </w:rPr>
    </w:pPr>
    <w:r>
      <w:rPr>
        <w:rFonts w:hint="eastAsia" w:ascii="黑体" w:eastAsia="黑体"/>
        <w:bCs/>
        <w:sz w:val="21"/>
        <w:szCs w:val="21"/>
      </w:rPr>
      <w:t>JJF(辽)131－2012</w:t>
    </w:r>
    <w:r>
      <w:rPr>
        <w:rFonts w:hint="eastAsia" w:ascii="黑体" w:eastAsia="黑体"/>
        <w:b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2874DC">
    <w:pPr>
      <w:pStyle w:val="15"/>
    </w:pPr>
    <w:r>
      <w:rPr>
        <w:rFonts w:hint="eastAsia" w:ascii="黑体" w:eastAsia="黑体"/>
        <w:bCs/>
        <w:sz w:val="21"/>
        <w:szCs w:val="21"/>
      </w:rPr>
      <w:t>JJF(辽)131－2012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717132">
    <w:pPr>
      <w:pStyle w:val="15"/>
      <w:rPr>
        <w:rFonts w:ascii="黑体" w:eastAsia="黑体"/>
        <w:b/>
      </w:rPr>
    </w:pPr>
    <w:r>
      <w:rPr>
        <w:rFonts w:hint="eastAsia" w:ascii="宋体" w:hAnsi="宋体"/>
        <w:b/>
        <w:sz w:val="21"/>
        <w:szCs w:val="21"/>
      </w:rPr>
      <w:t>JJF</w:t>
    </w:r>
    <w:r>
      <w:rPr>
        <w:rFonts w:ascii="宋体" w:hAnsi="宋体"/>
        <w:b/>
        <w:sz w:val="21"/>
        <w:szCs w:val="21"/>
      </w:rPr>
      <w:t xml:space="preserve"> </w:t>
    </w:r>
    <w:r>
      <w:rPr>
        <w:rFonts w:hint="eastAsia" w:ascii="宋体" w:hAnsi="宋体"/>
        <w:b/>
        <w:sz w:val="21"/>
        <w:szCs w:val="21"/>
      </w:rPr>
      <w:t>XXXX-XXXX</w:t>
    </w:r>
    <w:r>
      <w:rPr>
        <w:rFonts w:hint="eastAsia" w:ascii="黑体" w:eastAsia="黑体"/>
        <w:bCs/>
        <w:sz w:val="21"/>
        <w:szCs w:val="21"/>
      </w:rPr>
      <w:t xml:space="preserve">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07A316">
    <w:pPr>
      <w:pStyle w:val="15"/>
      <w:rPr>
        <w:rFonts w:ascii="黑体" w:eastAsia="黑体"/>
      </w:rPr>
    </w:pPr>
    <w:r>
      <w:rPr>
        <w:rFonts w:hint="eastAsia" w:ascii="宋体" w:hAnsi="宋体"/>
        <w:b/>
        <w:sz w:val="21"/>
        <w:szCs w:val="21"/>
      </w:rPr>
      <w:t>JJF</w:t>
    </w:r>
    <w:r>
      <w:rPr>
        <w:rFonts w:ascii="宋体" w:hAnsi="宋体"/>
        <w:b/>
        <w:sz w:val="21"/>
        <w:szCs w:val="21"/>
      </w:rPr>
      <w:t xml:space="preserve"> </w:t>
    </w:r>
    <w:r>
      <w:rPr>
        <w:rFonts w:hint="eastAsia" w:ascii="宋体" w:hAnsi="宋体"/>
        <w:b/>
        <w:sz w:val="21"/>
        <w:szCs w:val="21"/>
      </w:rPr>
      <w:t>XXXX-XXXX</w:t>
    </w:r>
    <w:r>
      <w:rPr>
        <w:rFonts w:hint="eastAsia" w:ascii="黑体" w:hAnsi="宋体" w:eastAsia="黑体"/>
        <w:sz w:val="21"/>
        <w:szCs w:val="21"/>
      </w:rPr>
      <w:t xml:space="preserve"> 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0412B1">
    <w:pPr>
      <w:pStyle w:val="15"/>
      <w:rPr>
        <w:rFonts w:ascii="黑体" w:eastAsia="黑体"/>
      </w:rPr>
    </w:pPr>
    <w:r>
      <w:rPr>
        <w:rFonts w:hint="eastAsia" w:ascii="黑体" w:hAnsi="宋体" w:eastAsia="黑体"/>
        <w:sz w:val="21"/>
        <w:szCs w:val="21"/>
      </w:rPr>
      <w:t>JJFXXXX</w:t>
    </w:r>
    <w:r>
      <w:rPr>
        <w:rFonts w:ascii="黑体" w:hAnsi="宋体" w:eastAsia="黑体"/>
        <w:sz w:val="21"/>
        <w:szCs w:val="21"/>
      </w:rPr>
      <w:t>-XXXX</w:t>
    </w:r>
    <w:r>
      <w:rPr>
        <w:rFonts w:hint="eastAsia" w:ascii="黑体" w:hAnsi="宋体" w:eastAsia="黑体"/>
        <w:sz w:val="21"/>
        <w:szCs w:val="21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D563D1"/>
    <w:multiLevelType w:val="multilevel"/>
    <w:tmpl w:val="26D563D1"/>
    <w:lvl w:ilvl="0" w:tentative="0">
      <w:start w:val="1"/>
      <w:numFmt w:val="lowerLetter"/>
      <w:lvlText w:val="%1)"/>
      <w:lvlJc w:val="left"/>
      <w:pPr>
        <w:tabs>
          <w:tab w:val="left" w:pos="360"/>
        </w:tabs>
        <w:ind w:left="360" w:firstLine="37"/>
      </w:pPr>
      <w:rPr>
        <w:rFonts w:hint="default"/>
      </w:rPr>
    </w:lvl>
    <w:lvl w:ilvl="1" w:tentative="0">
      <w:start w:val="4"/>
      <w:numFmt w:val="decimal"/>
      <w:lvlText w:val="%2、"/>
      <w:lvlJc w:val="left"/>
      <w:pPr>
        <w:tabs>
          <w:tab w:val="left" w:pos="855"/>
        </w:tabs>
        <w:ind w:left="855" w:hanging="435"/>
      </w:pPr>
      <w:rPr>
        <w:rFonts w:hint="default"/>
        <w:sz w:val="28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66748ABC"/>
    <w:multiLevelType w:val="singleLevel"/>
    <w:tmpl w:val="66748AB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evenAndOddHeaders w:val="1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E0MDc5ZTE2MzUyYWQyNThjNGY1Y2IwYzY3MzVlNmMifQ=="/>
  </w:docVars>
  <w:rsids>
    <w:rsidRoot w:val="00CE1B76"/>
    <w:rsid w:val="000023D4"/>
    <w:rsid w:val="0000528A"/>
    <w:rsid w:val="0000719F"/>
    <w:rsid w:val="000071F6"/>
    <w:rsid w:val="00007287"/>
    <w:rsid w:val="000079E8"/>
    <w:rsid w:val="00010061"/>
    <w:rsid w:val="0001461D"/>
    <w:rsid w:val="00016165"/>
    <w:rsid w:val="00016196"/>
    <w:rsid w:val="00016B4F"/>
    <w:rsid w:val="000211A2"/>
    <w:rsid w:val="00021A4F"/>
    <w:rsid w:val="00022D81"/>
    <w:rsid w:val="00024881"/>
    <w:rsid w:val="000259FC"/>
    <w:rsid w:val="00025B95"/>
    <w:rsid w:val="00026AB9"/>
    <w:rsid w:val="000303D7"/>
    <w:rsid w:val="000313F5"/>
    <w:rsid w:val="000314AB"/>
    <w:rsid w:val="00032CE4"/>
    <w:rsid w:val="00034FA3"/>
    <w:rsid w:val="00036B30"/>
    <w:rsid w:val="000372BC"/>
    <w:rsid w:val="00037C75"/>
    <w:rsid w:val="00040CCF"/>
    <w:rsid w:val="000436B9"/>
    <w:rsid w:val="0004563A"/>
    <w:rsid w:val="00046520"/>
    <w:rsid w:val="00050106"/>
    <w:rsid w:val="0005172E"/>
    <w:rsid w:val="00051B0E"/>
    <w:rsid w:val="00053943"/>
    <w:rsid w:val="00056ECC"/>
    <w:rsid w:val="0006288F"/>
    <w:rsid w:val="00063260"/>
    <w:rsid w:val="00064C29"/>
    <w:rsid w:val="0006666B"/>
    <w:rsid w:val="00071F3C"/>
    <w:rsid w:val="00072780"/>
    <w:rsid w:val="00074BA9"/>
    <w:rsid w:val="00075E85"/>
    <w:rsid w:val="00076E08"/>
    <w:rsid w:val="000771E0"/>
    <w:rsid w:val="00077C0E"/>
    <w:rsid w:val="000827CF"/>
    <w:rsid w:val="000875CA"/>
    <w:rsid w:val="000906AD"/>
    <w:rsid w:val="000909FA"/>
    <w:rsid w:val="00092E30"/>
    <w:rsid w:val="0009396D"/>
    <w:rsid w:val="00093B2B"/>
    <w:rsid w:val="00095A40"/>
    <w:rsid w:val="000964DF"/>
    <w:rsid w:val="000978CB"/>
    <w:rsid w:val="000A4CAC"/>
    <w:rsid w:val="000A5870"/>
    <w:rsid w:val="000A6396"/>
    <w:rsid w:val="000B0073"/>
    <w:rsid w:val="000B11C7"/>
    <w:rsid w:val="000B1E2A"/>
    <w:rsid w:val="000B257C"/>
    <w:rsid w:val="000B25E8"/>
    <w:rsid w:val="000B31D9"/>
    <w:rsid w:val="000B3FE6"/>
    <w:rsid w:val="000B5F4F"/>
    <w:rsid w:val="000B5F64"/>
    <w:rsid w:val="000B76F9"/>
    <w:rsid w:val="000C120F"/>
    <w:rsid w:val="000C46EB"/>
    <w:rsid w:val="000C505D"/>
    <w:rsid w:val="000C6439"/>
    <w:rsid w:val="000D0EC5"/>
    <w:rsid w:val="000D2D8A"/>
    <w:rsid w:val="000D32B6"/>
    <w:rsid w:val="000D405E"/>
    <w:rsid w:val="000D4187"/>
    <w:rsid w:val="000D53F8"/>
    <w:rsid w:val="000D7116"/>
    <w:rsid w:val="000D77C5"/>
    <w:rsid w:val="000E11FC"/>
    <w:rsid w:val="000E2E9A"/>
    <w:rsid w:val="000E43F1"/>
    <w:rsid w:val="000E4A7D"/>
    <w:rsid w:val="000F1637"/>
    <w:rsid w:val="000F2162"/>
    <w:rsid w:val="000F4517"/>
    <w:rsid w:val="000F5F50"/>
    <w:rsid w:val="000F61FD"/>
    <w:rsid w:val="000F6EE7"/>
    <w:rsid w:val="000F7FD0"/>
    <w:rsid w:val="00100127"/>
    <w:rsid w:val="0010146E"/>
    <w:rsid w:val="00106EE3"/>
    <w:rsid w:val="001108D7"/>
    <w:rsid w:val="00111369"/>
    <w:rsid w:val="001123CD"/>
    <w:rsid w:val="00112B3A"/>
    <w:rsid w:val="00115620"/>
    <w:rsid w:val="001164F7"/>
    <w:rsid w:val="00117853"/>
    <w:rsid w:val="001201A9"/>
    <w:rsid w:val="00124952"/>
    <w:rsid w:val="00124A49"/>
    <w:rsid w:val="00125071"/>
    <w:rsid w:val="00126E78"/>
    <w:rsid w:val="00130E60"/>
    <w:rsid w:val="001317AD"/>
    <w:rsid w:val="00132A5D"/>
    <w:rsid w:val="001352BA"/>
    <w:rsid w:val="00135C6B"/>
    <w:rsid w:val="00136211"/>
    <w:rsid w:val="001404C7"/>
    <w:rsid w:val="001448F6"/>
    <w:rsid w:val="0014756D"/>
    <w:rsid w:val="00147E02"/>
    <w:rsid w:val="001504EB"/>
    <w:rsid w:val="00150AA4"/>
    <w:rsid w:val="001538E2"/>
    <w:rsid w:val="00153AD7"/>
    <w:rsid w:val="00157644"/>
    <w:rsid w:val="001615F4"/>
    <w:rsid w:val="00163AA4"/>
    <w:rsid w:val="00164A20"/>
    <w:rsid w:val="0016568F"/>
    <w:rsid w:val="00165DF4"/>
    <w:rsid w:val="00166F35"/>
    <w:rsid w:val="00166FBC"/>
    <w:rsid w:val="00167D50"/>
    <w:rsid w:val="00170982"/>
    <w:rsid w:val="00170B85"/>
    <w:rsid w:val="00172767"/>
    <w:rsid w:val="0017312F"/>
    <w:rsid w:val="00175AB0"/>
    <w:rsid w:val="001772D2"/>
    <w:rsid w:val="001806DC"/>
    <w:rsid w:val="001875C2"/>
    <w:rsid w:val="00187C9D"/>
    <w:rsid w:val="001921C9"/>
    <w:rsid w:val="0019792F"/>
    <w:rsid w:val="001A030A"/>
    <w:rsid w:val="001A2953"/>
    <w:rsid w:val="001A54AC"/>
    <w:rsid w:val="001A5A4A"/>
    <w:rsid w:val="001A68D7"/>
    <w:rsid w:val="001B24C3"/>
    <w:rsid w:val="001B55FF"/>
    <w:rsid w:val="001C0151"/>
    <w:rsid w:val="001C0D7C"/>
    <w:rsid w:val="001C16F2"/>
    <w:rsid w:val="001C400F"/>
    <w:rsid w:val="001D021D"/>
    <w:rsid w:val="001D0695"/>
    <w:rsid w:val="001D0DDF"/>
    <w:rsid w:val="001D223B"/>
    <w:rsid w:val="001D3CE0"/>
    <w:rsid w:val="001D3E02"/>
    <w:rsid w:val="001D5810"/>
    <w:rsid w:val="001D5C72"/>
    <w:rsid w:val="001D5DB4"/>
    <w:rsid w:val="001D6DD3"/>
    <w:rsid w:val="001E0657"/>
    <w:rsid w:val="001E06E0"/>
    <w:rsid w:val="001E18D2"/>
    <w:rsid w:val="001E3140"/>
    <w:rsid w:val="001E3865"/>
    <w:rsid w:val="001E57C7"/>
    <w:rsid w:val="001E6E6B"/>
    <w:rsid w:val="001F4C3C"/>
    <w:rsid w:val="001F7BB1"/>
    <w:rsid w:val="001F7D31"/>
    <w:rsid w:val="0020080A"/>
    <w:rsid w:val="00202EFA"/>
    <w:rsid w:val="00203B0E"/>
    <w:rsid w:val="00204B13"/>
    <w:rsid w:val="0020799E"/>
    <w:rsid w:val="0021001C"/>
    <w:rsid w:val="002108A7"/>
    <w:rsid w:val="00211F07"/>
    <w:rsid w:val="00213D95"/>
    <w:rsid w:val="002154F6"/>
    <w:rsid w:val="00216835"/>
    <w:rsid w:val="0021755D"/>
    <w:rsid w:val="00217877"/>
    <w:rsid w:val="00221BD3"/>
    <w:rsid w:val="00224B68"/>
    <w:rsid w:val="00226130"/>
    <w:rsid w:val="00226BF3"/>
    <w:rsid w:val="00227D55"/>
    <w:rsid w:val="00227F66"/>
    <w:rsid w:val="00233B27"/>
    <w:rsid w:val="00235DCA"/>
    <w:rsid w:val="00235FCD"/>
    <w:rsid w:val="00236D58"/>
    <w:rsid w:val="0023722D"/>
    <w:rsid w:val="0024037B"/>
    <w:rsid w:val="00240761"/>
    <w:rsid w:val="0024091C"/>
    <w:rsid w:val="00240D96"/>
    <w:rsid w:val="00240F8D"/>
    <w:rsid w:val="0024190F"/>
    <w:rsid w:val="002431BA"/>
    <w:rsid w:val="00246F5D"/>
    <w:rsid w:val="0025035F"/>
    <w:rsid w:val="0025402D"/>
    <w:rsid w:val="0025574C"/>
    <w:rsid w:val="00257708"/>
    <w:rsid w:val="00260706"/>
    <w:rsid w:val="00260FC0"/>
    <w:rsid w:val="002620F2"/>
    <w:rsid w:val="00262EDB"/>
    <w:rsid w:val="00265631"/>
    <w:rsid w:val="00265C88"/>
    <w:rsid w:val="00266D83"/>
    <w:rsid w:val="00267440"/>
    <w:rsid w:val="00271940"/>
    <w:rsid w:val="00272176"/>
    <w:rsid w:val="00272884"/>
    <w:rsid w:val="00272B20"/>
    <w:rsid w:val="0027357D"/>
    <w:rsid w:val="00274832"/>
    <w:rsid w:val="00274F47"/>
    <w:rsid w:val="00275B2A"/>
    <w:rsid w:val="002765F2"/>
    <w:rsid w:val="00280A2B"/>
    <w:rsid w:val="0028474C"/>
    <w:rsid w:val="00284E74"/>
    <w:rsid w:val="0028592E"/>
    <w:rsid w:val="0028682A"/>
    <w:rsid w:val="00290CFE"/>
    <w:rsid w:val="00291850"/>
    <w:rsid w:val="00291C08"/>
    <w:rsid w:val="00292CA5"/>
    <w:rsid w:val="00293340"/>
    <w:rsid w:val="00294C18"/>
    <w:rsid w:val="0029605E"/>
    <w:rsid w:val="00296FA2"/>
    <w:rsid w:val="002A2076"/>
    <w:rsid w:val="002A6047"/>
    <w:rsid w:val="002A630A"/>
    <w:rsid w:val="002B4686"/>
    <w:rsid w:val="002B5823"/>
    <w:rsid w:val="002B5ECA"/>
    <w:rsid w:val="002C02CA"/>
    <w:rsid w:val="002C1633"/>
    <w:rsid w:val="002C3CCC"/>
    <w:rsid w:val="002C3F9B"/>
    <w:rsid w:val="002C560C"/>
    <w:rsid w:val="002C5A7E"/>
    <w:rsid w:val="002C6933"/>
    <w:rsid w:val="002D1CF3"/>
    <w:rsid w:val="002D1F24"/>
    <w:rsid w:val="002D2C5B"/>
    <w:rsid w:val="002D54AE"/>
    <w:rsid w:val="002D6AA0"/>
    <w:rsid w:val="002E0E77"/>
    <w:rsid w:val="002E125A"/>
    <w:rsid w:val="002E1F4E"/>
    <w:rsid w:val="002E2CFC"/>
    <w:rsid w:val="002E3E4F"/>
    <w:rsid w:val="002E47C9"/>
    <w:rsid w:val="002E5724"/>
    <w:rsid w:val="002E60BB"/>
    <w:rsid w:val="002E6201"/>
    <w:rsid w:val="002E7D6B"/>
    <w:rsid w:val="002F17D6"/>
    <w:rsid w:val="002F1C9B"/>
    <w:rsid w:val="002F3B27"/>
    <w:rsid w:val="002F7908"/>
    <w:rsid w:val="002F7BE9"/>
    <w:rsid w:val="00301DEA"/>
    <w:rsid w:val="00305619"/>
    <w:rsid w:val="0030727F"/>
    <w:rsid w:val="003108F7"/>
    <w:rsid w:val="00313779"/>
    <w:rsid w:val="00314281"/>
    <w:rsid w:val="00314C3C"/>
    <w:rsid w:val="00315D9B"/>
    <w:rsid w:val="00316E2D"/>
    <w:rsid w:val="003172C0"/>
    <w:rsid w:val="0032030F"/>
    <w:rsid w:val="00322850"/>
    <w:rsid w:val="00323157"/>
    <w:rsid w:val="00324E8B"/>
    <w:rsid w:val="00326336"/>
    <w:rsid w:val="00326DEE"/>
    <w:rsid w:val="00327F39"/>
    <w:rsid w:val="00332676"/>
    <w:rsid w:val="00332807"/>
    <w:rsid w:val="003333F4"/>
    <w:rsid w:val="00333E1B"/>
    <w:rsid w:val="00334B81"/>
    <w:rsid w:val="00335B25"/>
    <w:rsid w:val="00340E89"/>
    <w:rsid w:val="0034164C"/>
    <w:rsid w:val="00343A03"/>
    <w:rsid w:val="003455BE"/>
    <w:rsid w:val="003472E6"/>
    <w:rsid w:val="00350A0A"/>
    <w:rsid w:val="00352F39"/>
    <w:rsid w:val="003532EC"/>
    <w:rsid w:val="003572E4"/>
    <w:rsid w:val="00357A3F"/>
    <w:rsid w:val="00364ACE"/>
    <w:rsid w:val="003829B2"/>
    <w:rsid w:val="00383F2E"/>
    <w:rsid w:val="0038434D"/>
    <w:rsid w:val="00385A3B"/>
    <w:rsid w:val="0038760F"/>
    <w:rsid w:val="00392576"/>
    <w:rsid w:val="00393B06"/>
    <w:rsid w:val="00397272"/>
    <w:rsid w:val="00397635"/>
    <w:rsid w:val="003A1A80"/>
    <w:rsid w:val="003A228E"/>
    <w:rsid w:val="003A2305"/>
    <w:rsid w:val="003A23FC"/>
    <w:rsid w:val="003A4016"/>
    <w:rsid w:val="003A58CF"/>
    <w:rsid w:val="003A6711"/>
    <w:rsid w:val="003A7D2F"/>
    <w:rsid w:val="003B3F23"/>
    <w:rsid w:val="003B78D1"/>
    <w:rsid w:val="003C0714"/>
    <w:rsid w:val="003C4ED4"/>
    <w:rsid w:val="003C6272"/>
    <w:rsid w:val="003C6D92"/>
    <w:rsid w:val="003C77F1"/>
    <w:rsid w:val="003D0504"/>
    <w:rsid w:val="003D400C"/>
    <w:rsid w:val="003D477D"/>
    <w:rsid w:val="003D5B05"/>
    <w:rsid w:val="003D6312"/>
    <w:rsid w:val="003D6FEE"/>
    <w:rsid w:val="003D7269"/>
    <w:rsid w:val="003E083F"/>
    <w:rsid w:val="003E2A8B"/>
    <w:rsid w:val="003E4A82"/>
    <w:rsid w:val="003E66DB"/>
    <w:rsid w:val="003E695F"/>
    <w:rsid w:val="003E729F"/>
    <w:rsid w:val="003E7FC6"/>
    <w:rsid w:val="003F0A85"/>
    <w:rsid w:val="003F1B64"/>
    <w:rsid w:val="003F2508"/>
    <w:rsid w:val="003F2D7F"/>
    <w:rsid w:val="003F706A"/>
    <w:rsid w:val="003F7AE7"/>
    <w:rsid w:val="00400871"/>
    <w:rsid w:val="004032F2"/>
    <w:rsid w:val="00403593"/>
    <w:rsid w:val="00410166"/>
    <w:rsid w:val="00411CD6"/>
    <w:rsid w:val="004125ED"/>
    <w:rsid w:val="00413655"/>
    <w:rsid w:val="00415225"/>
    <w:rsid w:val="00416ADC"/>
    <w:rsid w:val="00417700"/>
    <w:rsid w:val="00417754"/>
    <w:rsid w:val="004204B6"/>
    <w:rsid w:val="0042209B"/>
    <w:rsid w:val="004273ED"/>
    <w:rsid w:val="00433F1C"/>
    <w:rsid w:val="0043470A"/>
    <w:rsid w:val="00435C68"/>
    <w:rsid w:val="004367B1"/>
    <w:rsid w:val="00437B53"/>
    <w:rsid w:val="004414F8"/>
    <w:rsid w:val="004417AD"/>
    <w:rsid w:val="0044291A"/>
    <w:rsid w:val="0045056A"/>
    <w:rsid w:val="004510B7"/>
    <w:rsid w:val="00451588"/>
    <w:rsid w:val="004543A3"/>
    <w:rsid w:val="004545EC"/>
    <w:rsid w:val="004563A4"/>
    <w:rsid w:val="00456555"/>
    <w:rsid w:val="00457BCC"/>
    <w:rsid w:val="00461A71"/>
    <w:rsid w:val="00462929"/>
    <w:rsid w:val="00463775"/>
    <w:rsid w:val="00463A5D"/>
    <w:rsid w:val="00463DE7"/>
    <w:rsid w:val="00465969"/>
    <w:rsid w:val="0046726C"/>
    <w:rsid w:val="0046749B"/>
    <w:rsid w:val="004705E7"/>
    <w:rsid w:val="00470838"/>
    <w:rsid w:val="00471053"/>
    <w:rsid w:val="00471F78"/>
    <w:rsid w:val="004741E0"/>
    <w:rsid w:val="00477296"/>
    <w:rsid w:val="00477A05"/>
    <w:rsid w:val="00480700"/>
    <w:rsid w:val="00480B86"/>
    <w:rsid w:val="0048252C"/>
    <w:rsid w:val="00485596"/>
    <w:rsid w:val="004869A1"/>
    <w:rsid w:val="00486AFE"/>
    <w:rsid w:val="00486B49"/>
    <w:rsid w:val="004900D9"/>
    <w:rsid w:val="0049037B"/>
    <w:rsid w:val="00490A90"/>
    <w:rsid w:val="004936BC"/>
    <w:rsid w:val="0049422A"/>
    <w:rsid w:val="00495B34"/>
    <w:rsid w:val="00497264"/>
    <w:rsid w:val="0049744B"/>
    <w:rsid w:val="00497C27"/>
    <w:rsid w:val="004A0728"/>
    <w:rsid w:val="004A186C"/>
    <w:rsid w:val="004A2853"/>
    <w:rsid w:val="004A712E"/>
    <w:rsid w:val="004A7D50"/>
    <w:rsid w:val="004A7D83"/>
    <w:rsid w:val="004B04A7"/>
    <w:rsid w:val="004B172A"/>
    <w:rsid w:val="004B1DA6"/>
    <w:rsid w:val="004B5C8C"/>
    <w:rsid w:val="004B6B12"/>
    <w:rsid w:val="004B7422"/>
    <w:rsid w:val="004C02AD"/>
    <w:rsid w:val="004C02DC"/>
    <w:rsid w:val="004C12D4"/>
    <w:rsid w:val="004C40BC"/>
    <w:rsid w:val="004C4588"/>
    <w:rsid w:val="004C4C37"/>
    <w:rsid w:val="004C5D5B"/>
    <w:rsid w:val="004C7749"/>
    <w:rsid w:val="004D1F40"/>
    <w:rsid w:val="004D3CE0"/>
    <w:rsid w:val="004D3D8A"/>
    <w:rsid w:val="004D3E23"/>
    <w:rsid w:val="004D6571"/>
    <w:rsid w:val="004D66D3"/>
    <w:rsid w:val="004D7BC2"/>
    <w:rsid w:val="004E2C7F"/>
    <w:rsid w:val="004E3278"/>
    <w:rsid w:val="004E3554"/>
    <w:rsid w:val="004E42B3"/>
    <w:rsid w:val="004E5EDF"/>
    <w:rsid w:val="004F032B"/>
    <w:rsid w:val="004F3037"/>
    <w:rsid w:val="004F384A"/>
    <w:rsid w:val="004F4407"/>
    <w:rsid w:val="004F69F3"/>
    <w:rsid w:val="004F7390"/>
    <w:rsid w:val="005021D8"/>
    <w:rsid w:val="00503C47"/>
    <w:rsid w:val="0050442B"/>
    <w:rsid w:val="00507BA7"/>
    <w:rsid w:val="00507E6F"/>
    <w:rsid w:val="005107FC"/>
    <w:rsid w:val="00515A2C"/>
    <w:rsid w:val="00515BD3"/>
    <w:rsid w:val="0052454C"/>
    <w:rsid w:val="00525462"/>
    <w:rsid w:val="00525669"/>
    <w:rsid w:val="005256F8"/>
    <w:rsid w:val="005318A7"/>
    <w:rsid w:val="005336F1"/>
    <w:rsid w:val="00534BDE"/>
    <w:rsid w:val="0053511D"/>
    <w:rsid w:val="00535D4C"/>
    <w:rsid w:val="005371FB"/>
    <w:rsid w:val="00542C3E"/>
    <w:rsid w:val="00542C55"/>
    <w:rsid w:val="00544092"/>
    <w:rsid w:val="005444E1"/>
    <w:rsid w:val="005448A3"/>
    <w:rsid w:val="00545B9F"/>
    <w:rsid w:val="005463EE"/>
    <w:rsid w:val="00547DB6"/>
    <w:rsid w:val="0055409C"/>
    <w:rsid w:val="005549A6"/>
    <w:rsid w:val="00554C42"/>
    <w:rsid w:val="005573C0"/>
    <w:rsid w:val="005605F7"/>
    <w:rsid w:val="005612BB"/>
    <w:rsid w:val="005616EA"/>
    <w:rsid w:val="005643D4"/>
    <w:rsid w:val="00567FCA"/>
    <w:rsid w:val="00570A3D"/>
    <w:rsid w:val="00570BA6"/>
    <w:rsid w:val="00571919"/>
    <w:rsid w:val="00571AC0"/>
    <w:rsid w:val="0057349C"/>
    <w:rsid w:val="00573C65"/>
    <w:rsid w:val="0057441F"/>
    <w:rsid w:val="00581039"/>
    <w:rsid w:val="005832B0"/>
    <w:rsid w:val="00585E3D"/>
    <w:rsid w:val="005860A3"/>
    <w:rsid w:val="00586A66"/>
    <w:rsid w:val="00586E53"/>
    <w:rsid w:val="005901FE"/>
    <w:rsid w:val="00592A1E"/>
    <w:rsid w:val="00593575"/>
    <w:rsid w:val="0059512A"/>
    <w:rsid w:val="005965F3"/>
    <w:rsid w:val="00596C25"/>
    <w:rsid w:val="00597573"/>
    <w:rsid w:val="005A08E2"/>
    <w:rsid w:val="005A2B3F"/>
    <w:rsid w:val="005A35F5"/>
    <w:rsid w:val="005A5096"/>
    <w:rsid w:val="005A5DF1"/>
    <w:rsid w:val="005A6913"/>
    <w:rsid w:val="005A6EE3"/>
    <w:rsid w:val="005B1A45"/>
    <w:rsid w:val="005B284C"/>
    <w:rsid w:val="005B315D"/>
    <w:rsid w:val="005B31AE"/>
    <w:rsid w:val="005B4F82"/>
    <w:rsid w:val="005B6D81"/>
    <w:rsid w:val="005B6FF4"/>
    <w:rsid w:val="005B7278"/>
    <w:rsid w:val="005C000D"/>
    <w:rsid w:val="005C0EB2"/>
    <w:rsid w:val="005C14FB"/>
    <w:rsid w:val="005C64AE"/>
    <w:rsid w:val="005D0A25"/>
    <w:rsid w:val="005D5FC2"/>
    <w:rsid w:val="005D6B34"/>
    <w:rsid w:val="005D6F96"/>
    <w:rsid w:val="005D724A"/>
    <w:rsid w:val="005E2355"/>
    <w:rsid w:val="005E2E75"/>
    <w:rsid w:val="005E379A"/>
    <w:rsid w:val="005E54BD"/>
    <w:rsid w:val="005E6288"/>
    <w:rsid w:val="005E7D85"/>
    <w:rsid w:val="005F4DF8"/>
    <w:rsid w:val="005F6176"/>
    <w:rsid w:val="005F6942"/>
    <w:rsid w:val="005F7BDC"/>
    <w:rsid w:val="006004F7"/>
    <w:rsid w:val="006018FD"/>
    <w:rsid w:val="00602EA0"/>
    <w:rsid w:val="00603B70"/>
    <w:rsid w:val="00603C8C"/>
    <w:rsid w:val="006041F1"/>
    <w:rsid w:val="0060457C"/>
    <w:rsid w:val="00606D7D"/>
    <w:rsid w:val="006102D4"/>
    <w:rsid w:val="00610C45"/>
    <w:rsid w:val="00611937"/>
    <w:rsid w:val="00612A14"/>
    <w:rsid w:val="006130DA"/>
    <w:rsid w:val="00614FA5"/>
    <w:rsid w:val="00617D6C"/>
    <w:rsid w:val="00633733"/>
    <w:rsid w:val="0063454A"/>
    <w:rsid w:val="00634EF7"/>
    <w:rsid w:val="0063704D"/>
    <w:rsid w:val="0063706C"/>
    <w:rsid w:val="0063752A"/>
    <w:rsid w:val="0064279B"/>
    <w:rsid w:val="00642D0A"/>
    <w:rsid w:val="006435BC"/>
    <w:rsid w:val="00644FBF"/>
    <w:rsid w:val="00645C29"/>
    <w:rsid w:val="006515C3"/>
    <w:rsid w:val="006546A5"/>
    <w:rsid w:val="00655734"/>
    <w:rsid w:val="006564ED"/>
    <w:rsid w:val="00660902"/>
    <w:rsid w:val="00661B29"/>
    <w:rsid w:val="00665C62"/>
    <w:rsid w:val="006677A1"/>
    <w:rsid w:val="00672560"/>
    <w:rsid w:val="00673C93"/>
    <w:rsid w:val="00677027"/>
    <w:rsid w:val="00680B73"/>
    <w:rsid w:val="00686B6D"/>
    <w:rsid w:val="0068737E"/>
    <w:rsid w:val="006876B1"/>
    <w:rsid w:val="006907DA"/>
    <w:rsid w:val="00692D5D"/>
    <w:rsid w:val="0069442D"/>
    <w:rsid w:val="0069487A"/>
    <w:rsid w:val="0069649E"/>
    <w:rsid w:val="0069680A"/>
    <w:rsid w:val="006A3346"/>
    <w:rsid w:val="006A41AC"/>
    <w:rsid w:val="006A47F6"/>
    <w:rsid w:val="006A4BC7"/>
    <w:rsid w:val="006A7D89"/>
    <w:rsid w:val="006B5374"/>
    <w:rsid w:val="006B5BBC"/>
    <w:rsid w:val="006B60CD"/>
    <w:rsid w:val="006B7131"/>
    <w:rsid w:val="006B7F1A"/>
    <w:rsid w:val="006C10F9"/>
    <w:rsid w:val="006C1810"/>
    <w:rsid w:val="006C38ED"/>
    <w:rsid w:val="006C4869"/>
    <w:rsid w:val="006C4929"/>
    <w:rsid w:val="006C526A"/>
    <w:rsid w:val="006C5614"/>
    <w:rsid w:val="006C5A77"/>
    <w:rsid w:val="006D2256"/>
    <w:rsid w:val="006D3E2F"/>
    <w:rsid w:val="006D5048"/>
    <w:rsid w:val="006D6724"/>
    <w:rsid w:val="006E1E7C"/>
    <w:rsid w:val="006E2AEB"/>
    <w:rsid w:val="006E5714"/>
    <w:rsid w:val="006F3AA6"/>
    <w:rsid w:val="006F3D39"/>
    <w:rsid w:val="006F4CC5"/>
    <w:rsid w:val="006F6795"/>
    <w:rsid w:val="006F70CC"/>
    <w:rsid w:val="007000D8"/>
    <w:rsid w:val="0070461F"/>
    <w:rsid w:val="007102E7"/>
    <w:rsid w:val="00710356"/>
    <w:rsid w:val="00711F9C"/>
    <w:rsid w:val="00716602"/>
    <w:rsid w:val="00717A8C"/>
    <w:rsid w:val="00717F20"/>
    <w:rsid w:val="007211C5"/>
    <w:rsid w:val="00721E76"/>
    <w:rsid w:val="007328E4"/>
    <w:rsid w:val="0073420D"/>
    <w:rsid w:val="007379A1"/>
    <w:rsid w:val="00737FE2"/>
    <w:rsid w:val="007404A1"/>
    <w:rsid w:val="007408AC"/>
    <w:rsid w:val="007424C6"/>
    <w:rsid w:val="00742641"/>
    <w:rsid w:val="00744F67"/>
    <w:rsid w:val="00744FC7"/>
    <w:rsid w:val="00747964"/>
    <w:rsid w:val="007516D2"/>
    <w:rsid w:val="0075245F"/>
    <w:rsid w:val="00754202"/>
    <w:rsid w:val="0075510D"/>
    <w:rsid w:val="007552B6"/>
    <w:rsid w:val="00755451"/>
    <w:rsid w:val="00755DD2"/>
    <w:rsid w:val="00757C89"/>
    <w:rsid w:val="007600F9"/>
    <w:rsid w:val="00760F8D"/>
    <w:rsid w:val="00761CF0"/>
    <w:rsid w:val="0076239C"/>
    <w:rsid w:val="00765014"/>
    <w:rsid w:val="007657DE"/>
    <w:rsid w:val="00766CC1"/>
    <w:rsid w:val="00767A39"/>
    <w:rsid w:val="00767B89"/>
    <w:rsid w:val="00770551"/>
    <w:rsid w:val="007716CB"/>
    <w:rsid w:val="007736C5"/>
    <w:rsid w:val="007756EF"/>
    <w:rsid w:val="0077612D"/>
    <w:rsid w:val="00777CF2"/>
    <w:rsid w:val="007803B8"/>
    <w:rsid w:val="00781E97"/>
    <w:rsid w:val="00784E71"/>
    <w:rsid w:val="00786CDE"/>
    <w:rsid w:val="00787D81"/>
    <w:rsid w:val="007903B1"/>
    <w:rsid w:val="00790845"/>
    <w:rsid w:val="00790C62"/>
    <w:rsid w:val="00791BF0"/>
    <w:rsid w:val="00795A94"/>
    <w:rsid w:val="007975E8"/>
    <w:rsid w:val="00797EA5"/>
    <w:rsid w:val="007A103F"/>
    <w:rsid w:val="007A1486"/>
    <w:rsid w:val="007A28F6"/>
    <w:rsid w:val="007A2F2F"/>
    <w:rsid w:val="007A4685"/>
    <w:rsid w:val="007A5544"/>
    <w:rsid w:val="007B2EF2"/>
    <w:rsid w:val="007B5E72"/>
    <w:rsid w:val="007B611A"/>
    <w:rsid w:val="007B672D"/>
    <w:rsid w:val="007C1059"/>
    <w:rsid w:val="007C30BB"/>
    <w:rsid w:val="007C3E1E"/>
    <w:rsid w:val="007C5290"/>
    <w:rsid w:val="007D2BA5"/>
    <w:rsid w:val="007D4151"/>
    <w:rsid w:val="007D4E1B"/>
    <w:rsid w:val="007D63A6"/>
    <w:rsid w:val="007E0654"/>
    <w:rsid w:val="007E1267"/>
    <w:rsid w:val="007E6428"/>
    <w:rsid w:val="007E7738"/>
    <w:rsid w:val="007F08B9"/>
    <w:rsid w:val="007F0ADD"/>
    <w:rsid w:val="007F0ECC"/>
    <w:rsid w:val="007F1A50"/>
    <w:rsid w:val="007F3DA9"/>
    <w:rsid w:val="007F7249"/>
    <w:rsid w:val="0080054E"/>
    <w:rsid w:val="00802B2A"/>
    <w:rsid w:val="00802D05"/>
    <w:rsid w:val="008036B0"/>
    <w:rsid w:val="00803810"/>
    <w:rsid w:val="00806874"/>
    <w:rsid w:val="008102B3"/>
    <w:rsid w:val="008115F5"/>
    <w:rsid w:val="008116FB"/>
    <w:rsid w:val="00811A80"/>
    <w:rsid w:val="00813033"/>
    <w:rsid w:val="0081409D"/>
    <w:rsid w:val="0081564C"/>
    <w:rsid w:val="008236BF"/>
    <w:rsid w:val="008250A8"/>
    <w:rsid w:val="00825E26"/>
    <w:rsid w:val="008260D9"/>
    <w:rsid w:val="008264F3"/>
    <w:rsid w:val="008276AF"/>
    <w:rsid w:val="00831CE8"/>
    <w:rsid w:val="00832692"/>
    <w:rsid w:val="00833B23"/>
    <w:rsid w:val="00835198"/>
    <w:rsid w:val="00843A79"/>
    <w:rsid w:val="00850CFF"/>
    <w:rsid w:val="008530A5"/>
    <w:rsid w:val="00853484"/>
    <w:rsid w:val="00853A06"/>
    <w:rsid w:val="00856ADD"/>
    <w:rsid w:val="00860201"/>
    <w:rsid w:val="00860ECB"/>
    <w:rsid w:val="00861704"/>
    <w:rsid w:val="0086529E"/>
    <w:rsid w:val="00865CCA"/>
    <w:rsid w:val="00866151"/>
    <w:rsid w:val="00870A86"/>
    <w:rsid w:val="00872527"/>
    <w:rsid w:val="008746DE"/>
    <w:rsid w:val="008746EC"/>
    <w:rsid w:val="008752DA"/>
    <w:rsid w:val="00876317"/>
    <w:rsid w:val="00877B58"/>
    <w:rsid w:val="00877F0D"/>
    <w:rsid w:val="008830F1"/>
    <w:rsid w:val="00883827"/>
    <w:rsid w:val="0088491F"/>
    <w:rsid w:val="008853B0"/>
    <w:rsid w:val="00887CC7"/>
    <w:rsid w:val="0089136D"/>
    <w:rsid w:val="00891714"/>
    <w:rsid w:val="008929DD"/>
    <w:rsid w:val="0089300E"/>
    <w:rsid w:val="0089553C"/>
    <w:rsid w:val="008957FA"/>
    <w:rsid w:val="008960DF"/>
    <w:rsid w:val="00896BBE"/>
    <w:rsid w:val="00896CA4"/>
    <w:rsid w:val="008979DD"/>
    <w:rsid w:val="008A1143"/>
    <w:rsid w:val="008A11A0"/>
    <w:rsid w:val="008A34EC"/>
    <w:rsid w:val="008A4659"/>
    <w:rsid w:val="008A53C2"/>
    <w:rsid w:val="008A57AE"/>
    <w:rsid w:val="008A6810"/>
    <w:rsid w:val="008B005B"/>
    <w:rsid w:val="008B0207"/>
    <w:rsid w:val="008B12B0"/>
    <w:rsid w:val="008B15A2"/>
    <w:rsid w:val="008B1608"/>
    <w:rsid w:val="008B287F"/>
    <w:rsid w:val="008B56E1"/>
    <w:rsid w:val="008B67B1"/>
    <w:rsid w:val="008B7ECA"/>
    <w:rsid w:val="008C22BC"/>
    <w:rsid w:val="008C2710"/>
    <w:rsid w:val="008D0D84"/>
    <w:rsid w:val="008D297A"/>
    <w:rsid w:val="008D56B5"/>
    <w:rsid w:val="008D5FBF"/>
    <w:rsid w:val="008D6140"/>
    <w:rsid w:val="008D73C9"/>
    <w:rsid w:val="008E1567"/>
    <w:rsid w:val="008E22AC"/>
    <w:rsid w:val="008E30E0"/>
    <w:rsid w:val="008E39D0"/>
    <w:rsid w:val="008E71A2"/>
    <w:rsid w:val="008F205B"/>
    <w:rsid w:val="008F209B"/>
    <w:rsid w:val="008F26FE"/>
    <w:rsid w:val="008F573D"/>
    <w:rsid w:val="008F75C6"/>
    <w:rsid w:val="00900122"/>
    <w:rsid w:val="00903190"/>
    <w:rsid w:val="00903F47"/>
    <w:rsid w:val="00905D7A"/>
    <w:rsid w:val="00907CAC"/>
    <w:rsid w:val="009106EB"/>
    <w:rsid w:val="00912D2A"/>
    <w:rsid w:val="00912DFB"/>
    <w:rsid w:val="0091495A"/>
    <w:rsid w:val="009158DA"/>
    <w:rsid w:val="0091702E"/>
    <w:rsid w:val="00917FEB"/>
    <w:rsid w:val="0092145B"/>
    <w:rsid w:val="00921EE0"/>
    <w:rsid w:val="00926BFD"/>
    <w:rsid w:val="00927DFF"/>
    <w:rsid w:val="009307CE"/>
    <w:rsid w:val="00930B01"/>
    <w:rsid w:val="009317DE"/>
    <w:rsid w:val="00932530"/>
    <w:rsid w:val="00932C4C"/>
    <w:rsid w:val="00933165"/>
    <w:rsid w:val="009363DC"/>
    <w:rsid w:val="00936EA0"/>
    <w:rsid w:val="009371F0"/>
    <w:rsid w:val="0094037B"/>
    <w:rsid w:val="00940DF9"/>
    <w:rsid w:val="009417CA"/>
    <w:rsid w:val="009425AD"/>
    <w:rsid w:val="00943367"/>
    <w:rsid w:val="00944626"/>
    <w:rsid w:val="009470C5"/>
    <w:rsid w:val="00954D8A"/>
    <w:rsid w:val="00955392"/>
    <w:rsid w:val="009574DA"/>
    <w:rsid w:val="00960BA4"/>
    <w:rsid w:val="0096272C"/>
    <w:rsid w:val="0096314E"/>
    <w:rsid w:val="009631C5"/>
    <w:rsid w:val="009639A6"/>
    <w:rsid w:val="00967847"/>
    <w:rsid w:val="00972739"/>
    <w:rsid w:val="00973B32"/>
    <w:rsid w:val="00974480"/>
    <w:rsid w:val="0097509A"/>
    <w:rsid w:val="00975E27"/>
    <w:rsid w:val="0097707F"/>
    <w:rsid w:val="0098200A"/>
    <w:rsid w:val="009824E5"/>
    <w:rsid w:val="00982BAF"/>
    <w:rsid w:val="009863FD"/>
    <w:rsid w:val="00987030"/>
    <w:rsid w:val="00992F79"/>
    <w:rsid w:val="0099331C"/>
    <w:rsid w:val="00993E2F"/>
    <w:rsid w:val="00995EB8"/>
    <w:rsid w:val="00996AFD"/>
    <w:rsid w:val="009971A8"/>
    <w:rsid w:val="009A26C4"/>
    <w:rsid w:val="009A3608"/>
    <w:rsid w:val="009A3E75"/>
    <w:rsid w:val="009A427A"/>
    <w:rsid w:val="009B0458"/>
    <w:rsid w:val="009B1364"/>
    <w:rsid w:val="009B351A"/>
    <w:rsid w:val="009B4247"/>
    <w:rsid w:val="009B6622"/>
    <w:rsid w:val="009B728A"/>
    <w:rsid w:val="009C0EBE"/>
    <w:rsid w:val="009C224B"/>
    <w:rsid w:val="009D0F16"/>
    <w:rsid w:val="009D1EBA"/>
    <w:rsid w:val="009D41B6"/>
    <w:rsid w:val="009D43A0"/>
    <w:rsid w:val="009D4A7D"/>
    <w:rsid w:val="009D5191"/>
    <w:rsid w:val="009D5C85"/>
    <w:rsid w:val="009E0F60"/>
    <w:rsid w:val="009E1124"/>
    <w:rsid w:val="009E2D91"/>
    <w:rsid w:val="009E3FBD"/>
    <w:rsid w:val="009E63E4"/>
    <w:rsid w:val="009E6729"/>
    <w:rsid w:val="009F05BB"/>
    <w:rsid w:val="009F11D4"/>
    <w:rsid w:val="009F36E2"/>
    <w:rsid w:val="009F3835"/>
    <w:rsid w:val="009F4919"/>
    <w:rsid w:val="009F4E6C"/>
    <w:rsid w:val="009F5AA9"/>
    <w:rsid w:val="009F6A47"/>
    <w:rsid w:val="009F6C5E"/>
    <w:rsid w:val="009F7659"/>
    <w:rsid w:val="00A03A2D"/>
    <w:rsid w:val="00A03CDE"/>
    <w:rsid w:val="00A057CF"/>
    <w:rsid w:val="00A05C07"/>
    <w:rsid w:val="00A06147"/>
    <w:rsid w:val="00A164F4"/>
    <w:rsid w:val="00A206F1"/>
    <w:rsid w:val="00A21347"/>
    <w:rsid w:val="00A223C3"/>
    <w:rsid w:val="00A26CF5"/>
    <w:rsid w:val="00A3008F"/>
    <w:rsid w:val="00A3100C"/>
    <w:rsid w:val="00A32757"/>
    <w:rsid w:val="00A32BD9"/>
    <w:rsid w:val="00A34D9D"/>
    <w:rsid w:val="00A368EF"/>
    <w:rsid w:val="00A406DC"/>
    <w:rsid w:val="00A41FC5"/>
    <w:rsid w:val="00A42C79"/>
    <w:rsid w:val="00A450BF"/>
    <w:rsid w:val="00A452BD"/>
    <w:rsid w:val="00A46044"/>
    <w:rsid w:val="00A477CC"/>
    <w:rsid w:val="00A47BC7"/>
    <w:rsid w:val="00A50238"/>
    <w:rsid w:val="00A51E66"/>
    <w:rsid w:val="00A51E87"/>
    <w:rsid w:val="00A53297"/>
    <w:rsid w:val="00A5356C"/>
    <w:rsid w:val="00A54189"/>
    <w:rsid w:val="00A6122A"/>
    <w:rsid w:val="00A626D5"/>
    <w:rsid w:val="00A630B2"/>
    <w:rsid w:val="00A660C0"/>
    <w:rsid w:val="00A70F31"/>
    <w:rsid w:val="00A7301A"/>
    <w:rsid w:val="00A73A58"/>
    <w:rsid w:val="00A741AE"/>
    <w:rsid w:val="00A74609"/>
    <w:rsid w:val="00A81085"/>
    <w:rsid w:val="00A8304E"/>
    <w:rsid w:val="00A8391A"/>
    <w:rsid w:val="00A83996"/>
    <w:rsid w:val="00A83CF8"/>
    <w:rsid w:val="00A843A5"/>
    <w:rsid w:val="00A85229"/>
    <w:rsid w:val="00A86E66"/>
    <w:rsid w:val="00A90FF6"/>
    <w:rsid w:val="00A9644C"/>
    <w:rsid w:val="00A9746A"/>
    <w:rsid w:val="00A977E2"/>
    <w:rsid w:val="00AB0B79"/>
    <w:rsid w:val="00AB1FE4"/>
    <w:rsid w:val="00AB32B6"/>
    <w:rsid w:val="00AB3DC9"/>
    <w:rsid w:val="00AB497E"/>
    <w:rsid w:val="00AB57D3"/>
    <w:rsid w:val="00AB6203"/>
    <w:rsid w:val="00AB7616"/>
    <w:rsid w:val="00AC21C1"/>
    <w:rsid w:val="00AC2E7B"/>
    <w:rsid w:val="00AC424C"/>
    <w:rsid w:val="00AD056B"/>
    <w:rsid w:val="00AD0B2B"/>
    <w:rsid w:val="00AD12FF"/>
    <w:rsid w:val="00AD1F60"/>
    <w:rsid w:val="00AD2AEA"/>
    <w:rsid w:val="00AD2CC9"/>
    <w:rsid w:val="00AD3720"/>
    <w:rsid w:val="00AD46E5"/>
    <w:rsid w:val="00AD57FC"/>
    <w:rsid w:val="00AE693A"/>
    <w:rsid w:val="00AE7FBC"/>
    <w:rsid w:val="00AF0031"/>
    <w:rsid w:val="00AF01C9"/>
    <w:rsid w:val="00AF38ED"/>
    <w:rsid w:val="00AF55CA"/>
    <w:rsid w:val="00AF6395"/>
    <w:rsid w:val="00B017FE"/>
    <w:rsid w:val="00B032BA"/>
    <w:rsid w:val="00B053EC"/>
    <w:rsid w:val="00B059B3"/>
    <w:rsid w:val="00B10E70"/>
    <w:rsid w:val="00B112E4"/>
    <w:rsid w:val="00B12B2C"/>
    <w:rsid w:val="00B13283"/>
    <w:rsid w:val="00B13D76"/>
    <w:rsid w:val="00B14005"/>
    <w:rsid w:val="00B16241"/>
    <w:rsid w:val="00B1671B"/>
    <w:rsid w:val="00B17CAC"/>
    <w:rsid w:val="00B17EA0"/>
    <w:rsid w:val="00B235B2"/>
    <w:rsid w:val="00B23E5F"/>
    <w:rsid w:val="00B24B66"/>
    <w:rsid w:val="00B2511F"/>
    <w:rsid w:val="00B274DC"/>
    <w:rsid w:val="00B31447"/>
    <w:rsid w:val="00B31D2D"/>
    <w:rsid w:val="00B346EF"/>
    <w:rsid w:val="00B34A4C"/>
    <w:rsid w:val="00B34F49"/>
    <w:rsid w:val="00B35D69"/>
    <w:rsid w:val="00B36647"/>
    <w:rsid w:val="00B415E1"/>
    <w:rsid w:val="00B41A68"/>
    <w:rsid w:val="00B41EFF"/>
    <w:rsid w:val="00B42BC0"/>
    <w:rsid w:val="00B42ED0"/>
    <w:rsid w:val="00B439B0"/>
    <w:rsid w:val="00B443F0"/>
    <w:rsid w:val="00B465AB"/>
    <w:rsid w:val="00B526FB"/>
    <w:rsid w:val="00B53656"/>
    <w:rsid w:val="00B54227"/>
    <w:rsid w:val="00B5574A"/>
    <w:rsid w:val="00B55E34"/>
    <w:rsid w:val="00B56BC8"/>
    <w:rsid w:val="00B57553"/>
    <w:rsid w:val="00B604A5"/>
    <w:rsid w:val="00B632AB"/>
    <w:rsid w:val="00B63C8D"/>
    <w:rsid w:val="00B64F06"/>
    <w:rsid w:val="00B655AD"/>
    <w:rsid w:val="00B65800"/>
    <w:rsid w:val="00B74CBB"/>
    <w:rsid w:val="00B76B34"/>
    <w:rsid w:val="00B7713C"/>
    <w:rsid w:val="00B8056D"/>
    <w:rsid w:val="00B811EF"/>
    <w:rsid w:val="00B81588"/>
    <w:rsid w:val="00B823C0"/>
    <w:rsid w:val="00B82C7A"/>
    <w:rsid w:val="00B847D0"/>
    <w:rsid w:val="00B85C3D"/>
    <w:rsid w:val="00B86661"/>
    <w:rsid w:val="00B87CC6"/>
    <w:rsid w:val="00B9104D"/>
    <w:rsid w:val="00B91220"/>
    <w:rsid w:val="00B91A68"/>
    <w:rsid w:val="00B92C00"/>
    <w:rsid w:val="00B94030"/>
    <w:rsid w:val="00B968D5"/>
    <w:rsid w:val="00BA0249"/>
    <w:rsid w:val="00BA1005"/>
    <w:rsid w:val="00BA1E61"/>
    <w:rsid w:val="00BA44E5"/>
    <w:rsid w:val="00BA56EB"/>
    <w:rsid w:val="00BA5944"/>
    <w:rsid w:val="00BB1665"/>
    <w:rsid w:val="00BB3D99"/>
    <w:rsid w:val="00BC19D1"/>
    <w:rsid w:val="00BC1F5E"/>
    <w:rsid w:val="00BC2D22"/>
    <w:rsid w:val="00BC31B9"/>
    <w:rsid w:val="00BC3AE7"/>
    <w:rsid w:val="00BC72DF"/>
    <w:rsid w:val="00BD2846"/>
    <w:rsid w:val="00BD426D"/>
    <w:rsid w:val="00BD42E1"/>
    <w:rsid w:val="00BD5415"/>
    <w:rsid w:val="00BE0C3B"/>
    <w:rsid w:val="00BE0EBF"/>
    <w:rsid w:val="00BE16D1"/>
    <w:rsid w:val="00BE22BB"/>
    <w:rsid w:val="00BE454C"/>
    <w:rsid w:val="00BE4AAC"/>
    <w:rsid w:val="00BE62FC"/>
    <w:rsid w:val="00BF29E9"/>
    <w:rsid w:val="00BF4708"/>
    <w:rsid w:val="00BF5D0A"/>
    <w:rsid w:val="00BF7F8B"/>
    <w:rsid w:val="00C01DF7"/>
    <w:rsid w:val="00C030E9"/>
    <w:rsid w:val="00C03E5A"/>
    <w:rsid w:val="00C04640"/>
    <w:rsid w:val="00C049F0"/>
    <w:rsid w:val="00C04CB9"/>
    <w:rsid w:val="00C06322"/>
    <w:rsid w:val="00C07604"/>
    <w:rsid w:val="00C103FA"/>
    <w:rsid w:val="00C1226A"/>
    <w:rsid w:val="00C152A9"/>
    <w:rsid w:val="00C156D8"/>
    <w:rsid w:val="00C1598B"/>
    <w:rsid w:val="00C16F8C"/>
    <w:rsid w:val="00C1794C"/>
    <w:rsid w:val="00C17C56"/>
    <w:rsid w:val="00C208B4"/>
    <w:rsid w:val="00C20D27"/>
    <w:rsid w:val="00C2122C"/>
    <w:rsid w:val="00C22082"/>
    <w:rsid w:val="00C2401A"/>
    <w:rsid w:val="00C24075"/>
    <w:rsid w:val="00C24527"/>
    <w:rsid w:val="00C3129A"/>
    <w:rsid w:val="00C31586"/>
    <w:rsid w:val="00C31848"/>
    <w:rsid w:val="00C32FDE"/>
    <w:rsid w:val="00C36279"/>
    <w:rsid w:val="00C37325"/>
    <w:rsid w:val="00C37E29"/>
    <w:rsid w:val="00C405E7"/>
    <w:rsid w:val="00C41097"/>
    <w:rsid w:val="00C418E6"/>
    <w:rsid w:val="00C428E3"/>
    <w:rsid w:val="00C43F74"/>
    <w:rsid w:val="00C44364"/>
    <w:rsid w:val="00C4574D"/>
    <w:rsid w:val="00C505A3"/>
    <w:rsid w:val="00C508DC"/>
    <w:rsid w:val="00C51C62"/>
    <w:rsid w:val="00C52459"/>
    <w:rsid w:val="00C530B7"/>
    <w:rsid w:val="00C547DB"/>
    <w:rsid w:val="00C54870"/>
    <w:rsid w:val="00C57351"/>
    <w:rsid w:val="00C6080D"/>
    <w:rsid w:val="00C61CE9"/>
    <w:rsid w:val="00C62EA3"/>
    <w:rsid w:val="00C62EBF"/>
    <w:rsid w:val="00C631E5"/>
    <w:rsid w:val="00C639AE"/>
    <w:rsid w:val="00C6430B"/>
    <w:rsid w:val="00C64941"/>
    <w:rsid w:val="00C659A0"/>
    <w:rsid w:val="00C67688"/>
    <w:rsid w:val="00C7051C"/>
    <w:rsid w:val="00C709C4"/>
    <w:rsid w:val="00C714F6"/>
    <w:rsid w:val="00C7354B"/>
    <w:rsid w:val="00C73FB4"/>
    <w:rsid w:val="00C751A5"/>
    <w:rsid w:val="00C765A7"/>
    <w:rsid w:val="00C76B84"/>
    <w:rsid w:val="00C808F6"/>
    <w:rsid w:val="00C82A0A"/>
    <w:rsid w:val="00C851A6"/>
    <w:rsid w:val="00C91884"/>
    <w:rsid w:val="00C92DDD"/>
    <w:rsid w:val="00C932F4"/>
    <w:rsid w:val="00C93FEE"/>
    <w:rsid w:val="00C951DD"/>
    <w:rsid w:val="00CA0666"/>
    <w:rsid w:val="00CA103E"/>
    <w:rsid w:val="00CA1D61"/>
    <w:rsid w:val="00CA37A6"/>
    <w:rsid w:val="00CA664F"/>
    <w:rsid w:val="00CA71E8"/>
    <w:rsid w:val="00CB40E3"/>
    <w:rsid w:val="00CB5DD7"/>
    <w:rsid w:val="00CB6652"/>
    <w:rsid w:val="00CB6A93"/>
    <w:rsid w:val="00CC141A"/>
    <w:rsid w:val="00CC3F16"/>
    <w:rsid w:val="00CC4107"/>
    <w:rsid w:val="00CC5355"/>
    <w:rsid w:val="00CC5B84"/>
    <w:rsid w:val="00CC5C6A"/>
    <w:rsid w:val="00CC7838"/>
    <w:rsid w:val="00CD661A"/>
    <w:rsid w:val="00CE1B76"/>
    <w:rsid w:val="00CE21BB"/>
    <w:rsid w:val="00CE3634"/>
    <w:rsid w:val="00CE4B06"/>
    <w:rsid w:val="00CE68A2"/>
    <w:rsid w:val="00CF11B2"/>
    <w:rsid w:val="00CF3E2D"/>
    <w:rsid w:val="00D00F14"/>
    <w:rsid w:val="00D0261E"/>
    <w:rsid w:val="00D06064"/>
    <w:rsid w:val="00D10C73"/>
    <w:rsid w:val="00D11D83"/>
    <w:rsid w:val="00D12AF8"/>
    <w:rsid w:val="00D12FCC"/>
    <w:rsid w:val="00D13EA9"/>
    <w:rsid w:val="00D15DDD"/>
    <w:rsid w:val="00D16BB1"/>
    <w:rsid w:val="00D205F4"/>
    <w:rsid w:val="00D20CFB"/>
    <w:rsid w:val="00D221A0"/>
    <w:rsid w:val="00D246BA"/>
    <w:rsid w:val="00D24981"/>
    <w:rsid w:val="00D24FBA"/>
    <w:rsid w:val="00D2549D"/>
    <w:rsid w:val="00D273A9"/>
    <w:rsid w:val="00D36E01"/>
    <w:rsid w:val="00D430FF"/>
    <w:rsid w:val="00D46144"/>
    <w:rsid w:val="00D467A5"/>
    <w:rsid w:val="00D4711E"/>
    <w:rsid w:val="00D5151B"/>
    <w:rsid w:val="00D52A16"/>
    <w:rsid w:val="00D53507"/>
    <w:rsid w:val="00D57514"/>
    <w:rsid w:val="00D57AB7"/>
    <w:rsid w:val="00D62F57"/>
    <w:rsid w:val="00D6602D"/>
    <w:rsid w:val="00D6692D"/>
    <w:rsid w:val="00D66AEE"/>
    <w:rsid w:val="00D66CE5"/>
    <w:rsid w:val="00D73E9A"/>
    <w:rsid w:val="00D74F1F"/>
    <w:rsid w:val="00D762D3"/>
    <w:rsid w:val="00D762F6"/>
    <w:rsid w:val="00D771CF"/>
    <w:rsid w:val="00D77EDC"/>
    <w:rsid w:val="00D800C6"/>
    <w:rsid w:val="00D8134E"/>
    <w:rsid w:val="00D81970"/>
    <w:rsid w:val="00D841AF"/>
    <w:rsid w:val="00D845EC"/>
    <w:rsid w:val="00D90071"/>
    <w:rsid w:val="00D917FD"/>
    <w:rsid w:val="00D9240E"/>
    <w:rsid w:val="00D932C6"/>
    <w:rsid w:val="00D95B2F"/>
    <w:rsid w:val="00D95E4F"/>
    <w:rsid w:val="00D95F99"/>
    <w:rsid w:val="00D97E1D"/>
    <w:rsid w:val="00DA263A"/>
    <w:rsid w:val="00DA3683"/>
    <w:rsid w:val="00DA468C"/>
    <w:rsid w:val="00DA5682"/>
    <w:rsid w:val="00DB151C"/>
    <w:rsid w:val="00DB1D74"/>
    <w:rsid w:val="00DB2703"/>
    <w:rsid w:val="00DB4D2A"/>
    <w:rsid w:val="00DC1C79"/>
    <w:rsid w:val="00DC2942"/>
    <w:rsid w:val="00DC6D4C"/>
    <w:rsid w:val="00DD0BF9"/>
    <w:rsid w:val="00DD1F67"/>
    <w:rsid w:val="00DD26EC"/>
    <w:rsid w:val="00DD5BF3"/>
    <w:rsid w:val="00DD735B"/>
    <w:rsid w:val="00DD7C36"/>
    <w:rsid w:val="00DE016A"/>
    <w:rsid w:val="00DE1657"/>
    <w:rsid w:val="00DE2644"/>
    <w:rsid w:val="00DE405E"/>
    <w:rsid w:val="00DE50B2"/>
    <w:rsid w:val="00DE6AC7"/>
    <w:rsid w:val="00DE7459"/>
    <w:rsid w:val="00DE7836"/>
    <w:rsid w:val="00DF0225"/>
    <w:rsid w:val="00DF02E9"/>
    <w:rsid w:val="00DF033D"/>
    <w:rsid w:val="00DF0E87"/>
    <w:rsid w:val="00DF15A5"/>
    <w:rsid w:val="00DF1A82"/>
    <w:rsid w:val="00DF1C3C"/>
    <w:rsid w:val="00DF2C22"/>
    <w:rsid w:val="00DF39D5"/>
    <w:rsid w:val="00DF4653"/>
    <w:rsid w:val="00E002D4"/>
    <w:rsid w:val="00E01C29"/>
    <w:rsid w:val="00E02375"/>
    <w:rsid w:val="00E02F96"/>
    <w:rsid w:val="00E034C5"/>
    <w:rsid w:val="00E053D8"/>
    <w:rsid w:val="00E06390"/>
    <w:rsid w:val="00E07EA2"/>
    <w:rsid w:val="00E11422"/>
    <w:rsid w:val="00E14750"/>
    <w:rsid w:val="00E17D3B"/>
    <w:rsid w:val="00E200F9"/>
    <w:rsid w:val="00E2013E"/>
    <w:rsid w:val="00E20ED3"/>
    <w:rsid w:val="00E21D95"/>
    <w:rsid w:val="00E22ABA"/>
    <w:rsid w:val="00E23181"/>
    <w:rsid w:val="00E26EBC"/>
    <w:rsid w:val="00E277C4"/>
    <w:rsid w:val="00E33191"/>
    <w:rsid w:val="00E33D4F"/>
    <w:rsid w:val="00E354D5"/>
    <w:rsid w:val="00E35B0A"/>
    <w:rsid w:val="00E35B63"/>
    <w:rsid w:val="00E4344B"/>
    <w:rsid w:val="00E469E7"/>
    <w:rsid w:val="00E478E1"/>
    <w:rsid w:val="00E5533E"/>
    <w:rsid w:val="00E5644B"/>
    <w:rsid w:val="00E573F2"/>
    <w:rsid w:val="00E61F3F"/>
    <w:rsid w:val="00E63E08"/>
    <w:rsid w:val="00E64005"/>
    <w:rsid w:val="00E641CF"/>
    <w:rsid w:val="00E66786"/>
    <w:rsid w:val="00E66CA9"/>
    <w:rsid w:val="00E721FA"/>
    <w:rsid w:val="00E734B3"/>
    <w:rsid w:val="00E7426F"/>
    <w:rsid w:val="00E77F1D"/>
    <w:rsid w:val="00E81FE2"/>
    <w:rsid w:val="00E846DB"/>
    <w:rsid w:val="00E85DE1"/>
    <w:rsid w:val="00E8628D"/>
    <w:rsid w:val="00E86672"/>
    <w:rsid w:val="00E86BBD"/>
    <w:rsid w:val="00E86D92"/>
    <w:rsid w:val="00E873AB"/>
    <w:rsid w:val="00E913F4"/>
    <w:rsid w:val="00E919BF"/>
    <w:rsid w:val="00E91B01"/>
    <w:rsid w:val="00E91BEE"/>
    <w:rsid w:val="00E92594"/>
    <w:rsid w:val="00E96874"/>
    <w:rsid w:val="00E97C35"/>
    <w:rsid w:val="00EA162C"/>
    <w:rsid w:val="00EA194E"/>
    <w:rsid w:val="00EA2275"/>
    <w:rsid w:val="00EA2E91"/>
    <w:rsid w:val="00EA3A91"/>
    <w:rsid w:val="00EA55FF"/>
    <w:rsid w:val="00EA7124"/>
    <w:rsid w:val="00EA7178"/>
    <w:rsid w:val="00EA7211"/>
    <w:rsid w:val="00EB139F"/>
    <w:rsid w:val="00EB194D"/>
    <w:rsid w:val="00EB2193"/>
    <w:rsid w:val="00EB2B16"/>
    <w:rsid w:val="00EB3B13"/>
    <w:rsid w:val="00EB63CA"/>
    <w:rsid w:val="00EB74C8"/>
    <w:rsid w:val="00ED2892"/>
    <w:rsid w:val="00ED382A"/>
    <w:rsid w:val="00EE12AD"/>
    <w:rsid w:val="00EE16DC"/>
    <w:rsid w:val="00EE1A59"/>
    <w:rsid w:val="00EE1A70"/>
    <w:rsid w:val="00EE37D5"/>
    <w:rsid w:val="00EE50BF"/>
    <w:rsid w:val="00EE5BFC"/>
    <w:rsid w:val="00EE6789"/>
    <w:rsid w:val="00EF073A"/>
    <w:rsid w:val="00EF0DDA"/>
    <w:rsid w:val="00EF2F60"/>
    <w:rsid w:val="00EF4A28"/>
    <w:rsid w:val="00EF6378"/>
    <w:rsid w:val="00EF6CC0"/>
    <w:rsid w:val="00EF7FDB"/>
    <w:rsid w:val="00F01214"/>
    <w:rsid w:val="00F02207"/>
    <w:rsid w:val="00F02E15"/>
    <w:rsid w:val="00F0383E"/>
    <w:rsid w:val="00F051FB"/>
    <w:rsid w:val="00F0597D"/>
    <w:rsid w:val="00F072A1"/>
    <w:rsid w:val="00F10C3C"/>
    <w:rsid w:val="00F114BF"/>
    <w:rsid w:val="00F13E63"/>
    <w:rsid w:val="00F143C2"/>
    <w:rsid w:val="00F14A1E"/>
    <w:rsid w:val="00F15223"/>
    <w:rsid w:val="00F206F1"/>
    <w:rsid w:val="00F20AA2"/>
    <w:rsid w:val="00F30B36"/>
    <w:rsid w:val="00F338D4"/>
    <w:rsid w:val="00F33C52"/>
    <w:rsid w:val="00F34188"/>
    <w:rsid w:val="00F40E76"/>
    <w:rsid w:val="00F435F9"/>
    <w:rsid w:val="00F43E14"/>
    <w:rsid w:val="00F45E6D"/>
    <w:rsid w:val="00F46829"/>
    <w:rsid w:val="00F47545"/>
    <w:rsid w:val="00F500A4"/>
    <w:rsid w:val="00F5037F"/>
    <w:rsid w:val="00F516C8"/>
    <w:rsid w:val="00F52087"/>
    <w:rsid w:val="00F524BD"/>
    <w:rsid w:val="00F54EA0"/>
    <w:rsid w:val="00F55523"/>
    <w:rsid w:val="00F6032F"/>
    <w:rsid w:val="00F609A4"/>
    <w:rsid w:val="00F60DCB"/>
    <w:rsid w:val="00F62172"/>
    <w:rsid w:val="00F64116"/>
    <w:rsid w:val="00F64AF3"/>
    <w:rsid w:val="00F659A6"/>
    <w:rsid w:val="00F71888"/>
    <w:rsid w:val="00F72B5D"/>
    <w:rsid w:val="00F7635A"/>
    <w:rsid w:val="00F767E9"/>
    <w:rsid w:val="00F805D5"/>
    <w:rsid w:val="00F827E6"/>
    <w:rsid w:val="00F83007"/>
    <w:rsid w:val="00F8690C"/>
    <w:rsid w:val="00F90807"/>
    <w:rsid w:val="00F911B7"/>
    <w:rsid w:val="00F924AE"/>
    <w:rsid w:val="00F9366F"/>
    <w:rsid w:val="00F94455"/>
    <w:rsid w:val="00F9621C"/>
    <w:rsid w:val="00F96FE8"/>
    <w:rsid w:val="00FA0919"/>
    <w:rsid w:val="00FA355C"/>
    <w:rsid w:val="00FB1E41"/>
    <w:rsid w:val="00FB2000"/>
    <w:rsid w:val="00FB5A05"/>
    <w:rsid w:val="00FC05FA"/>
    <w:rsid w:val="00FC07E3"/>
    <w:rsid w:val="00FC0C3F"/>
    <w:rsid w:val="00FD1B97"/>
    <w:rsid w:val="00FD1BDB"/>
    <w:rsid w:val="00FD2AA5"/>
    <w:rsid w:val="00FD2F02"/>
    <w:rsid w:val="00FD3B6C"/>
    <w:rsid w:val="00FD4FA7"/>
    <w:rsid w:val="00FD5096"/>
    <w:rsid w:val="00FD5BD3"/>
    <w:rsid w:val="00FD7812"/>
    <w:rsid w:val="00FD7F38"/>
    <w:rsid w:val="00FE2096"/>
    <w:rsid w:val="00FE2F49"/>
    <w:rsid w:val="00FE4FF0"/>
    <w:rsid w:val="00FE6AF0"/>
    <w:rsid w:val="00FE6B6E"/>
    <w:rsid w:val="00FF0044"/>
    <w:rsid w:val="00FF31FE"/>
    <w:rsid w:val="00FF35EA"/>
    <w:rsid w:val="00FF3677"/>
    <w:rsid w:val="00FF4D48"/>
    <w:rsid w:val="00FF59F9"/>
    <w:rsid w:val="00FF71A4"/>
    <w:rsid w:val="036A739B"/>
    <w:rsid w:val="04582BD2"/>
    <w:rsid w:val="05533536"/>
    <w:rsid w:val="066470C0"/>
    <w:rsid w:val="0B9327FF"/>
    <w:rsid w:val="0BB63662"/>
    <w:rsid w:val="10090303"/>
    <w:rsid w:val="10E91E4B"/>
    <w:rsid w:val="11072DFF"/>
    <w:rsid w:val="115B61CF"/>
    <w:rsid w:val="14DE162E"/>
    <w:rsid w:val="155C53FF"/>
    <w:rsid w:val="16EA3134"/>
    <w:rsid w:val="1E557561"/>
    <w:rsid w:val="1E7A36FB"/>
    <w:rsid w:val="1FE72482"/>
    <w:rsid w:val="1FFB263A"/>
    <w:rsid w:val="21CD0C7E"/>
    <w:rsid w:val="26BC4AA1"/>
    <w:rsid w:val="29DD3697"/>
    <w:rsid w:val="2CAB1434"/>
    <w:rsid w:val="2D4F3EC5"/>
    <w:rsid w:val="2E67471B"/>
    <w:rsid w:val="34B03F72"/>
    <w:rsid w:val="36EF5CFF"/>
    <w:rsid w:val="3A9120B3"/>
    <w:rsid w:val="3C06705D"/>
    <w:rsid w:val="3E332EF3"/>
    <w:rsid w:val="4176169A"/>
    <w:rsid w:val="44E23268"/>
    <w:rsid w:val="452D190C"/>
    <w:rsid w:val="45370CE4"/>
    <w:rsid w:val="4CFE53CA"/>
    <w:rsid w:val="50DA74D8"/>
    <w:rsid w:val="546E19DC"/>
    <w:rsid w:val="56F3389E"/>
    <w:rsid w:val="574544E1"/>
    <w:rsid w:val="576A47B0"/>
    <w:rsid w:val="5A7F7800"/>
    <w:rsid w:val="5B3A6303"/>
    <w:rsid w:val="609A50F4"/>
    <w:rsid w:val="61881982"/>
    <w:rsid w:val="62534752"/>
    <w:rsid w:val="65B60A83"/>
    <w:rsid w:val="67335C5F"/>
    <w:rsid w:val="6A666D12"/>
    <w:rsid w:val="6C015E38"/>
    <w:rsid w:val="6C3512DA"/>
    <w:rsid w:val="6D452EBC"/>
    <w:rsid w:val="6E6876E0"/>
    <w:rsid w:val="714814E8"/>
    <w:rsid w:val="71F84229"/>
    <w:rsid w:val="773235D4"/>
    <w:rsid w:val="7B1E57CD"/>
    <w:rsid w:val="7D6F3289"/>
    <w:rsid w:val="7E015C39"/>
    <w:rsid w:val="7E500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right"/>
      <w:outlineLvl w:val="0"/>
    </w:pPr>
    <w:rPr>
      <w:sz w:val="44"/>
    </w:rPr>
  </w:style>
  <w:style w:type="paragraph" w:styleId="3">
    <w:name w:val="heading 2"/>
    <w:basedOn w:val="1"/>
    <w:next w:val="1"/>
    <w:qFormat/>
    <w:uiPriority w:val="0"/>
    <w:pPr>
      <w:keepNext/>
      <w:jc w:val="right"/>
      <w:outlineLvl w:val="1"/>
    </w:pPr>
    <w:rPr>
      <w:sz w:val="36"/>
    </w:rPr>
  </w:style>
  <w:style w:type="paragraph" w:styleId="4">
    <w:name w:val="heading 3"/>
    <w:basedOn w:val="1"/>
    <w:next w:val="1"/>
    <w:qFormat/>
    <w:uiPriority w:val="0"/>
    <w:pPr>
      <w:keepNext/>
      <w:jc w:val="center"/>
      <w:outlineLvl w:val="2"/>
    </w:pPr>
    <w:rPr>
      <w:sz w:val="30"/>
    </w:rPr>
  </w:style>
  <w:style w:type="paragraph" w:styleId="5">
    <w:name w:val="heading 4"/>
    <w:basedOn w:val="1"/>
    <w:next w:val="1"/>
    <w:qFormat/>
    <w:uiPriority w:val="0"/>
    <w:pPr>
      <w:keepNext/>
      <w:jc w:val="distribute"/>
      <w:outlineLvl w:val="3"/>
    </w:pPr>
    <w:rPr>
      <w:sz w:val="28"/>
    </w:rPr>
  </w:style>
  <w:style w:type="character" w:default="1" w:styleId="21">
    <w:name w:val="Default Paragraph Font"/>
    <w:semiHidden/>
    <w:unhideWhenUsed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adjustRightInd w:val="0"/>
      <w:spacing w:line="360" w:lineRule="atLeast"/>
      <w:ind w:firstLine="567"/>
      <w:jc w:val="left"/>
      <w:textAlignment w:val="baseline"/>
    </w:pPr>
    <w:rPr>
      <w:spacing w:val="12"/>
      <w:kern w:val="0"/>
      <w:sz w:val="24"/>
      <w:szCs w:val="20"/>
    </w:rPr>
  </w:style>
  <w:style w:type="paragraph" w:styleId="7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/>
      <w:szCs w:val="20"/>
    </w:rPr>
  </w:style>
  <w:style w:type="paragraph" w:styleId="8">
    <w:name w:val="annotation text"/>
    <w:basedOn w:val="1"/>
    <w:semiHidden/>
    <w:qFormat/>
    <w:uiPriority w:val="0"/>
    <w:pPr>
      <w:jc w:val="left"/>
    </w:pPr>
  </w:style>
  <w:style w:type="paragraph" w:styleId="9">
    <w:name w:val="Body Text Indent"/>
    <w:basedOn w:val="1"/>
    <w:qFormat/>
    <w:uiPriority w:val="0"/>
    <w:pPr>
      <w:ind w:firstLine="480" w:firstLineChars="200"/>
    </w:pPr>
    <w:rPr>
      <w:rFonts w:ascii="宋体" w:hAnsi="宋体"/>
      <w:sz w:val="24"/>
    </w:rPr>
  </w:style>
  <w:style w:type="paragraph" w:styleId="10">
    <w:name w:val="Plain Text"/>
    <w:basedOn w:val="1"/>
    <w:link w:val="26"/>
    <w:qFormat/>
    <w:uiPriority w:val="0"/>
    <w:rPr>
      <w:rFonts w:ascii="宋体" w:hAnsi="Courier New"/>
      <w:szCs w:val="20"/>
    </w:rPr>
  </w:style>
  <w:style w:type="paragraph" w:styleId="11">
    <w:name w:val="Date"/>
    <w:basedOn w:val="1"/>
    <w:next w:val="1"/>
    <w:qFormat/>
    <w:uiPriority w:val="0"/>
    <w:pPr>
      <w:ind w:left="100" w:leftChars="2500"/>
    </w:pPr>
    <w:rPr>
      <w:rFonts w:ascii="宋体" w:hAnsi="宋体"/>
      <w:sz w:val="24"/>
    </w:rPr>
  </w:style>
  <w:style w:type="paragraph" w:styleId="12">
    <w:name w:val="Body Text Indent 2"/>
    <w:basedOn w:val="1"/>
    <w:qFormat/>
    <w:uiPriority w:val="0"/>
    <w:pPr>
      <w:spacing w:line="400" w:lineRule="exact"/>
      <w:ind w:firstLine="435"/>
    </w:pPr>
    <w:rPr>
      <w:rFonts w:ascii="宋体" w:hAnsi="宋体"/>
      <w:sz w:val="24"/>
    </w:rPr>
  </w:style>
  <w:style w:type="paragraph" w:styleId="13">
    <w:name w:val="Balloon Text"/>
    <w:basedOn w:val="1"/>
    <w:semiHidden/>
    <w:qFormat/>
    <w:uiPriority w:val="0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Body Text Indent 3"/>
    <w:basedOn w:val="1"/>
    <w:qFormat/>
    <w:uiPriority w:val="0"/>
    <w:pPr>
      <w:spacing w:line="360" w:lineRule="auto"/>
      <w:ind w:left="1080" w:leftChars="343" w:hanging="360" w:hangingChars="200"/>
    </w:pPr>
    <w:rPr>
      <w:rFonts w:ascii="仿宋_GB2312" w:hAnsi="宋体" w:eastAsia="仿宋_GB2312"/>
      <w:sz w:val="18"/>
    </w:rPr>
  </w:style>
  <w:style w:type="paragraph" w:styleId="17">
    <w:name w:val="toc 2"/>
    <w:basedOn w:val="1"/>
    <w:next w:val="1"/>
    <w:qFormat/>
    <w:uiPriority w:val="39"/>
    <w:pPr>
      <w:ind w:left="420" w:leftChars="200"/>
    </w:pPr>
  </w:style>
  <w:style w:type="paragraph" w:styleId="18">
    <w:name w:val="annotation subject"/>
    <w:basedOn w:val="8"/>
    <w:next w:val="8"/>
    <w:semiHidden/>
    <w:qFormat/>
    <w:uiPriority w:val="0"/>
    <w:rPr>
      <w:b/>
      <w:bCs/>
    </w:rPr>
  </w:style>
  <w:style w:type="table" w:styleId="20">
    <w:name w:val="Table Grid"/>
    <w:basedOn w:val="1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2">
    <w:name w:val="page number"/>
    <w:basedOn w:val="21"/>
    <w:qFormat/>
    <w:uiPriority w:val="0"/>
  </w:style>
  <w:style w:type="character" w:styleId="23">
    <w:name w:val="FollowedHyperlink"/>
    <w:qFormat/>
    <w:uiPriority w:val="0"/>
    <w:rPr>
      <w:color w:val="800080"/>
      <w:u w:val="single"/>
    </w:rPr>
  </w:style>
  <w:style w:type="character" w:styleId="24">
    <w:name w:val="Hyperlink"/>
    <w:qFormat/>
    <w:uiPriority w:val="0"/>
    <w:rPr>
      <w:color w:val="0000FF"/>
      <w:u w:val="single"/>
    </w:rPr>
  </w:style>
  <w:style w:type="character" w:styleId="25">
    <w:name w:val="annotation reference"/>
    <w:semiHidden/>
    <w:qFormat/>
    <w:uiPriority w:val="0"/>
    <w:rPr>
      <w:sz w:val="21"/>
      <w:szCs w:val="21"/>
    </w:rPr>
  </w:style>
  <w:style w:type="character" w:customStyle="1" w:styleId="26">
    <w:name w:val="纯文本 Char"/>
    <w:link w:val="10"/>
    <w:qFormat/>
    <w:uiPriority w:val="0"/>
    <w:rPr>
      <w:rFonts w:ascii="宋体" w:hAnsi="Courier New" w:eastAsia="宋体"/>
      <w:kern w:val="2"/>
      <w:sz w:val="21"/>
      <w:lang w:val="en-US" w:eastAsia="zh-CN" w:bidi="ar-SA"/>
    </w:rPr>
  </w:style>
  <w:style w:type="character" w:customStyle="1" w:styleId="27">
    <w:name w:val="apple-converted-space"/>
    <w:basedOn w:val="21"/>
    <w:qFormat/>
    <w:uiPriority w:val="0"/>
  </w:style>
  <w:style w:type="character" w:customStyle="1" w:styleId="28">
    <w:name w:val="fontstyle21"/>
    <w:qFormat/>
    <w:uiPriority w:val="0"/>
    <w:rPr>
      <w:rFonts w:hint="default" w:ascii="TimesNewRomanPSMT" w:hAnsi="TimesNewRomanPSMT"/>
      <w:color w:val="000000"/>
      <w:sz w:val="22"/>
      <w:szCs w:val="22"/>
    </w:rPr>
  </w:style>
  <w:style w:type="character" w:styleId="29">
    <w:name w:val="Placeholder Text"/>
    <w:semiHidden/>
    <w:qFormat/>
    <w:uiPriority w:val="99"/>
    <w:rPr>
      <w:color w:val="808080"/>
    </w:rPr>
  </w:style>
  <w:style w:type="character" w:customStyle="1" w:styleId="30">
    <w:name w:val="MTEquationSection"/>
    <w:qFormat/>
    <w:uiPriority w:val="0"/>
    <w:rPr>
      <w:rFonts w:eastAsia="黑体"/>
      <w:vanish/>
      <w:color w:val="FF0000"/>
      <w:sz w:val="84"/>
    </w:rPr>
  </w:style>
  <w:style w:type="character" w:customStyle="1" w:styleId="31">
    <w:name w:val="fontstyle01"/>
    <w:qFormat/>
    <w:uiPriority w:val="0"/>
    <w:rPr>
      <w:rFonts w:hint="eastAsia" w:ascii="黑体" w:eastAsia="黑体"/>
      <w:color w:val="000000"/>
      <w:sz w:val="22"/>
      <w:szCs w:val="22"/>
    </w:rPr>
  </w:style>
  <w:style w:type="paragraph" w:customStyle="1" w:styleId="32">
    <w:name w:val="_Style 16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lang w:eastAsia="en-US"/>
    </w:rPr>
  </w:style>
  <w:style w:type="paragraph" w:customStyle="1" w:styleId="33">
    <w:name w:val="Char Char Char Char Char Char1 Char Char Char Char1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lang w:eastAsia="en-US"/>
    </w:rPr>
  </w:style>
  <w:style w:type="paragraph" w:customStyle="1" w:styleId="34">
    <w:name w:val="Char Char Char Char Char Char1 Char Char 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lang w:eastAsia="en-US"/>
    </w:rPr>
  </w:style>
  <w:style w:type="paragraph" w:styleId="35">
    <w:name w:val="List Paragraph"/>
    <w:basedOn w:val="1"/>
    <w:qFormat/>
    <w:uiPriority w:val="34"/>
    <w:pPr>
      <w:ind w:firstLine="420" w:firstLineChars="200"/>
    </w:pPr>
  </w:style>
  <w:style w:type="paragraph" w:customStyle="1" w:styleId="36">
    <w:name w:val="Char"/>
    <w:basedOn w:val="1"/>
    <w:qFormat/>
    <w:uiPriority w:val="0"/>
    <w:pPr>
      <w:tabs>
        <w:tab w:val="left" w:pos="855"/>
      </w:tabs>
      <w:ind w:left="855" w:hanging="420"/>
    </w:pPr>
  </w:style>
  <w:style w:type="paragraph" w:customStyle="1" w:styleId="37">
    <w:name w:val="Char Char Char Char Char 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3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3" Type="http://schemas.openxmlformats.org/officeDocument/2006/relationships/fontTable" Target="fontTable.xml"/><Relationship Id="rId72" Type="http://schemas.openxmlformats.org/officeDocument/2006/relationships/numbering" Target="numbering.xml"/><Relationship Id="rId71" Type="http://schemas.openxmlformats.org/officeDocument/2006/relationships/customXml" Target="../customXml/item1.xml"/><Relationship Id="rId70" Type="http://schemas.openxmlformats.org/officeDocument/2006/relationships/image" Target="media/image29.wmf"/><Relationship Id="rId7" Type="http://schemas.openxmlformats.org/officeDocument/2006/relationships/header" Target="header3.xml"/><Relationship Id="rId69" Type="http://schemas.openxmlformats.org/officeDocument/2006/relationships/oleObject" Target="embeddings/oleObject22.bin"/><Relationship Id="rId68" Type="http://schemas.openxmlformats.org/officeDocument/2006/relationships/image" Target="media/image28.wmf"/><Relationship Id="rId67" Type="http://schemas.openxmlformats.org/officeDocument/2006/relationships/oleObject" Target="embeddings/oleObject21.bin"/><Relationship Id="rId66" Type="http://schemas.openxmlformats.org/officeDocument/2006/relationships/image" Target="media/image27.wmf"/><Relationship Id="rId65" Type="http://schemas.openxmlformats.org/officeDocument/2006/relationships/oleObject" Target="embeddings/oleObject20.bin"/><Relationship Id="rId64" Type="http://schemas.openxmlformats.org/officeDocument/2006/relationships/image" Target="media/image26.wmf"/><Relationship Id="rId63" Type="http://schemas.openxmlformats.org/officeDocument/2006/relationships/oleObject" Target="embeddings/oleObject19.bin"/><Relationship Id="rId62" Type="http://schemas.openxmlformats.org/officeDocument/2006/relationships/image" Target="media/image25.wmf"/><Relationship Id="rId61" Type="http://schemas.openxmlformats.org/officeDocument/2006/relationships/oleObject" Target="embeddings/oleObject18.bin"/><Relationship Id="rId60" Type="http://schemas.openxmlformats.org/officeDocument/2006/relationships/image" Target="media/image24.wmf"/><Relationship Id="rId6" Type="http://schemas.openxmlformats.org/officeDocument/2006/relationships/footer" Target="footer2.xml"/><Relationship Id="rId59" Type="http://schemas.openxmlformats.org/officeDocument/2006/relationships/oleObject" Target="embeddings/oleObject17.bin"/><Relationship Id="rId58" Type="http://schemas.openxmlformats.org/officeDocument/2006/relationships/image" Target="media/image23.wmf"/><Relationship Id="rId57" Type="http://schemas.openxmlformats.org/officeDocument/2006/relationships/oleObject" Target="embeddings/oleObject16.bin"/><Relationship Id="rId56" Type="http://schemas.openxmlformats.org/officeDocument/2006/relationships/image" Target="media/image22.wmf"/><Relationship Id="rId55" Type="http://schemas.openxmlformats.org/officeDocument/2006/relationships/oleObject" Target="embeddings/oleObject15.bin"/><Relationship Id="rId54" Type="http://schemas.openxmlformats.org/officeDocument/2006/relationships/image" Target="media/image21.wmf"/><Relationship Id="rId53" Type="http://schemas.openxmlformats.org/officeDocument/2006/relationships/oleObject" Target="embeddings/oleObject14.bin"/><Relationship Id="rId52" Type="http://schemas.openxmlformats.org/officeDocument/2006/relationships/image" Target="media/image20.wmf"/><Relationship Id="rId51" Type="http://schemas.openxmlformats.org/officeDocument/2006/relationships/oleObject" Target="embeddings/oleObject13.bin"/><Relationship Id="rId50" Type="http://schemas.openxmlformats.org/officeDocument/2006/relationships/image" Target="media/image19.wmf"/><Relationship Id="rId5" Type="http://schemas.openxmlformats.org/officeDocument/2006/relationships/footer" Target="footer1.xml"/><Relationship Id="rId49" Type="http://schemas.openxmlformats.org/officeDocument/2006/relationships/oleObject" Target="embeddings/oleObject12.bin"/><Relationship Id="rId48" Type="http://schemas.openxmlformats.org/officeDocument/2006/relationships/image" Target="media/image18.wmf"/><Relationship Id="rId47" Type="http://schemas.openxmlformats.org/officeDocument/2006/relationships/oleObject" Target="embeddings/oleObject11.bin"/><Relationship Id="rId46" Type="http://schemas.openxmlformats.org/officeDocument/2006/relationships/image" Target="media/image17.wmf"/><Relationship Id="rId45" Type="http://schemas.openxmlformats.org/officeDocument/2006/relationships/oleObject" Target="embeddings/oleObject10.bin"/><Relationship Id="rId44" Type="http://schemas.openxmlformats.org/officeDocument/2006/relationships/image" Target="media/image16.wmf"/><Relationship Id="rId43" Type="http://schemas.openxmlformats.org/officeDocument/2006/relationships/oleObject" Target="embeddings/oleObject9.bin"/><Relationship Id="rId42" Type="http://schemas.openxmlformats.org/officeDocument/2006/relationships/image" Target="media/image15.wmf"/><Relationship Id="rId41" Type="http://schemas.openxmlformats.org/officeDocument/2006/relationships/oleObject" Target="embeddings/oleObject8.bin"/><Relationship Id="rId40" Type="http://schemas.openxmlformats.org/officeDocument/2006/relationships/image" Target="media/image14.wmf"/><Relationship Id="rId4" Type="http://schemas.openxmlformats.org/officeDocument/2006/relationships/header" Target="header2.xml"/><Relationship Id="rId39" Type="http://schemas.openxmlformats.org/officeDocument/2006/relationships/oleObject" Target="embeddings/oleObject7.bin"/><Relationship Id="rId38" Type="http://schemas.openxmlformats.org/officeDocument/2006/relationships/image" Target="media/image13.wmf"/><Relationship Id="rId37" Type="http://schemas.openxmlformats.org/officeDocument/2006/relationships/oleObject" Target="embeddings/oleObject6.bin"/><Relationship Id="rId36" Type="http://schemas.openxmlformats.org/officeDocument/2006/relationships/image" Target="media/image12.wmf"/><Relationship Id="rId35" Type="http://schemas.openxmlformats.org/officeDocument/2006/relationships/oleObject" Target="embeddings/oleObject5.bin"/><Relationship Id="rId34" Type="http://schemas.openxmlformats.org/officeDocument/2006/relationships/image" Target="media/image11.wmf"/><Relationship Id="rId33" Type="http://schemas.openxmlformats.org/officeDocument/2006/relationships/oleObject" Target="embeddings/oleObject4.bin"/><Relationship Id="rId32" Type="http://schemas.openxmlformats.org/officeDocument/2006/relationships/image" Target="media/image10.wmf"/><Relationship Id="rId31" Type="http://schemas.openxmlformats.org/officeDocument/2006/relationships/oleObject" Target="embeddings/oleObject3.bin"/><Relationship Id="rId30" Type="http://schemas.openxmlformats.org/officeDocument/2006/relationships/image" Target="media/image9.wmf"/><Relationship Id="rId3" Type="http://schemas.openxmlformats.org/officeDocument/2006/relationships/header" Target="header1.xml"/><Relationship Id="rId29" Type="http://schemas.openxmlformats.org/officeDocument/2006/relationships/oleObject" Target="embeddings/oleObject2.bin"/><Relationship Id="rId28" Type="http://schemas.openxmlformats.org/officeDocument/2006/relationships/image" Target="media/image8.emf"/><Relationship Id="rId27" Type="http://schemas.openxmlformats.org/officeDocument/2006/relationships/image" Target="media/image7.emf"/><Relationship Id="rId26" Type="http://schemas.openxmlformats.org/officeDocument/2006/relationships/image" Target="media/image6.emf"/><Relationship Id="rId25" Type="http://schemas.openxmlformats.org/officeDocument/2006/relationships/image" Target="media/image5.png"/><Relationship Id="rId24" Type="http://schemas.openxmlformats.org/officeDocument/2006/relationships/image" Target="media/image4.wmf"/><Relationship Id="rId23" Type="http://schemas.openxmlformats.org/officeDocument/2006/relationships/oleObject" Target="embeddings/oleObject1.bin"/><Relationship Id="rId22" Type="http://schemas.openxmlformats.org/officeDocument/2006/relationships/image" Target="media/image3.png"/><Relationship Id="rId21" Type="http://schemas.openxmlformats.org/officeDocument/2006/relationships/image" Target="media/image2.bmp"/><Relationship Id="rId20" Type="http://schemas.openxmlformats.org/officeDocument/2006/relationships/image" Target="media/image1.jpeg"/><Relationship Id="rId2" Type="http://schemas.openxmlformats.org/officeDocument/2006/relationships/settings" Target="settings.xml"/><Relationship Id="rId19" Type="http://schemas.openxmlformats.org/officeDocument/2006/relationships/theme" Target="theme/theme1.xml"/><Relationship Id="rId18" Type="http://schemas.openxmlformats.org/officeDocument/2006/relationships/footer" Target="footer11.xml"/><Relationship Id="rId17" Type="http://schemas.openxmlformats.org/officeDocument/2006/relationships/footer" Target="footer10.xml"/><Relationship Id="rId16" Type="http://schemas.openxmlformats.org/officeDocument/2006/relationships/footer" Target="footer9.xml"/><Relationship Id="rId15" Type="http://schemas.openxmlformats.org/officeDocument/2006/relationships/footer" Target="footer8.xml"/><Relationship Id="rId14" Type="http://schemas.openxmlformats.org/officeDocument/2006/relationships/footer" Target="footer7.xml"/><Relationship Id="rId13" Type="http://schemas.openxmlformats.org/officeDocument/2006/relationships/footer" Target="footer6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corp</Company>
  <Pages>18</Pages>
  <Words>1049</Words>
  <Characters>1915</Characters>
  <Lines>29</Lines>
  <Paragraphs>16</Paragraphs>
  <TotalTime>2</TotalTime>
  <ScaleCrop>false</ScaleCrop>
  <LinksUpToDate>false</LinksUpToDate>
  <CharactersWithSpaces>2096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2017-08-01T08:48:00Z</dcterms:created>
  <dc:creator>devils</dc:creator>
  <cp:lastModifiedBy>刘广</cp:lastModifiedBy>
  <cp:lastPrinted>2025-08-14T06:56:00Z</cp:lastPrinted>
  <dcterms:modified xsi:type="dcterms:W3CDTF">2026-02-08T11:05:42Z</dcterms:modified>
  <dc:title>J J G</dc:title>
  <cp:revision>108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MTEquationSection">
    <vt:lpwstr>1</vt:lpwstr>
  </property>
  <property fmtid="{D5CDD505-2E9C-101B-9397-08002B2CF9AE}" pid="5" name="KSOProductBuildVer">
    <vt:lpwstr>2052-12.1.0.25225</vt:lpwstr>
  </property>
  <property fmtid="{D5CDD505-2E9C-101B-9397-08002B2CF9AE}" pid="6" name="ICV">
    <vt:lpwstr>EC6FDEE4D92F43D2B10FD29319F9E806_13</vt:lpwstr>
  </property>
  <property fmtid="{D5CDD505-2E9C-101B-9397-08002B2CF9AE}" pid="7" name="KSOTemplateDocerSaveRecord">
    <vt:lpwstr>eyJoZGlkIjoiMGE0MDc5ZTE2MzUyYWQyNThjNGY1Y2IwYzY3MzVlNmMiLCJ1c2VySWQiOiIzMDg1NTIzMjMifQ==</vt:lpwstr>
  </property>
</Properties>
</file>